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Has.Medical.Insurace....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Has.a.Regular.Physician....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(34.3)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(65.7)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(65.8)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(71.8)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Diagnosed.with.anxiety....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(61.8)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(48.3)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Diagnosed.with.depression....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Diagnosed.with.invasive.cancer....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Diagnosed.with.IBS..Crohn.s.or.Ulcerative.Colitis....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Diagnosed.with.endometriosis..w.o.chronic.pain.....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Diagnosed.with.persistant.ovarian.cysts....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Diagnosed.with.repeated.UTIs....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 (94.4)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Diagnosed.with.repeated.vaginal.infections....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0.888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Diagnosed.with.childhood.pelvic.health.problem....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Diagnosed.with.chronic.heart.condition..needing.treatment.....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Diagnosed.with.chronic.kidney.condition..needing.treatment.....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Diagnosed.with.chronic.lung.condition..needing.treatment.....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Diagnosed.with.chronic.liver.condition..needing.treatment.....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Other.major.pelvic.surgery....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Used.acetaminophen.regulary.in.past.year.to.treat.menstrual.pain....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Number.of.acetaminophen.tablets.taken.on.average.per.period....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Used.ibuprofen.regulary.in.past.year.to.treat.menstrual.pain....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0.369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Number.of.ibuprofen.tablets.taken.on.average.per.period....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Used.other.anti.inflammatory.regulary.in.past.year.to.treat.menstrual.pain....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Number.of.other.anti.inflammatory.tablets.taken.on.average.per.period....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Used.beta.blockers.regularly.in.past.year..for.any.indication.....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Used.triptans.regularly.in.past.year..for.any.indication.....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Used.antidepressants.regularly.in.past.year..for.any.indication.....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(76.4)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(84.2)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Used.minor.tranquilizers.regularly.in.past.year..for.any.indication.....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2025-07-31T14:48:01Z</dcterms:modified>
  <cp:category/>
</cp:coreProperties>
</file>