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Average.NMPP..last.7.days..median..IQR..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[2.00, 40.00]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Average.dysuria..last.7.days..median..IQR..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16.00]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Average.pain.with.bowel.movements..last.7.days..median..IQR..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[0.00, 18.00]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 [4.00, 44.00]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Sexual.intercourse..last.7.days....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(51.2)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(56.5)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 (48.8)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(39.8)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(43.5)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Average.dyspareunia..last.7.days..median..IQR..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8.00 [0.00, 25.00]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 [1.50, 27.50]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Meets.criteria.for.BPS.IC....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(64.8)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 (54.8)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(82.6)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(35.2)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(45.2)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Meets.criteria.for.IBS....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 (58.2)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(82.6)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(69.9)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Number.bodily.pain.sites..last.30.days..median..IQR..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[3.00,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Persistent.fatigue....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 (62.9)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 (60.2)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(80.4)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(37.1)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(39.8)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Sensitivity.to.sounds....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(77.4)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 (22.5)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Sensitivity.to.odors....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 (84.5)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 (87.1)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Sensitivity.to.chemicals....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(90.1)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(84.9)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 (93.5)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 (85.0)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(78.5)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(80.4)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Ever.had.dyspareunia....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(47.0)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(61.1)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 (53.0)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(38.9)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Age.when.dyspareunia.began..median..IQR..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21.00 [19.00, 23.00]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21.00 [19.00, 24.00]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 [18.00, 22.00]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Dyspareunia.during.most.recent.sexual.intercourse....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(70.8)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 (61.3)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 (89.1)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both during and in the 24 hours following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during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(17.2)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Yes, in the 24 hours following intercourse/penetration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Max.severity.of.dyspareunia.during.most.recent.sexual.intercourse..median..IQR..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Frequency.of.dyspareunia..last.12.months....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(every time)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(24.9)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(24.7)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Occasionally (less than a quarter of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 (55.9)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(57.0)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(54.3)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Often (a quarter to half of the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(more than half of the times)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Dyspareunia.resulting.in.disruption.of.sexual.intercourse....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 (70.9)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(68.8)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(78.3)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(29.1)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 (31.2)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Days.of.complete.menstrual.diary.data..median..IQR..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Days.of.bleeding.reported.on.diary..median..IQR..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[5.00,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Days.of.moderate.to.heavy.bleeding.reported.on.diary..median..IQR..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[2.00,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Average.pelvic.pain..24.hours.before.period.onset..median..IQR..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Days.with.menstrual.pain...3.reported.on.diary..median..IQR..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3.20 [2.40, 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[2.80, 5.20]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[0.00, 0.60]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Max.menstrual.pain.reported.on.diary..median..IQR..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[6.00,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[6.00,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Max.bowel.pain.reported.on.diary..median..IQR..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[3.00,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Max.bladder.pain.reported.on.diary..median..IQR..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Days.of.pain.reliever.usage.reported.on.diary..median..IQR..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1.50 [0.00, 2.25]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0.330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Meets.criteria.for.Vulvodynia....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(90.1)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 (89.2)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 (91.3)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Meets.criteria.for.Diagnosed.Endometriosis....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 (100.0)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2025-09-04T13:36:41Z</dcterms:modified>
  <cp:category/>
</cp:coreProperties>
</file>