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40"/>
        <w:gridCol w:w="1800"/>
        <w:gridCol w:w="1800"/>
        <w:gridCol w:w="1800"/>
        <w:gridCol w:w="1800"/>
        <w:gridCol w:w="1800"/>
        <w:gridCol w:w="1800"/>
        <w:gridCol w:w="180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rowname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Dysmenorrhea.plus.Bladder.Pain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Pain.Free.Control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p_dys_dysb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Average.NMPP..last.7.days..median..IQR..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10.00]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12.00 [2.00, 39.25]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3.00]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Average.dysuria..last.7.days..median..IQR..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[0.00, 16.75]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Average.pain.with.bowel.movements..last.7.days..median..IQR..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4.00 [0.00, 17.00]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17.00 [4.25, 37.50]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5.00]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Sexual.intercourse..last.7.days....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139 (51.7)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 (62.3)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 (54.1)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0.058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130 (48.3)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 (37.7)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 (45.9)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Average.dyspareunia..last.7.days..median..IQR..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8.50 [0.00, 25.75]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10.00 [1.50, 27.00]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4.50]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0.333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Meets.criteria.for.BPS.IC....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179 (66.5)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 (56.9)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 (82.0)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0.079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 (33.5)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 (43.1)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(18.0)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Meets.criteria.for.IBS....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150 (55.8)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 (33.1)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 (82.0)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119 (44.2)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 (66.9)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(18.0)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Number.bodily.pain.sites..last.30.days..median..IQR..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4.00 [2.00, 6.00]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4.50 [3.00,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[1.00, 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0.057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Persistent.fatigue....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173 (64.3)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 (61.5)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 (77.0)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0.098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0.668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96 (35.7)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 (38.5)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(23.0)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Sensitivity.to.sounds....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200 (74.3)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 (76.9)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 (80.3)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0.664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 (25.7)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 (23.1)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(19.7)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Sensitivity.to.odors....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230 (85.5)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110 (84.6)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 (88.5)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0.934</w:t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 (14.5)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(15.4)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(11.5)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Sensitivity.to.chemicals....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238 (88.5)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 (86.2)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 (93.4)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0.339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0.617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 (11.5)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(13.8)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(6.6)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Ever.had.sexual.intercourse....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 (15.2)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 (20.0)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(16.4)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0.294</w:t>
            </w:r>
          </w:p>
        </w:tc>
      </w:tr>
      <w:tr>
        <w:trPr>
          <w:trHeight w:val="360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228 (84.8)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104 (80.0)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 (83.6)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Ever.had.dyspareunia....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 (43.9)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 (34.6)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 (62.0)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0.142</w:t>
            </w:r>
          </w:p>
        </w:tc>
      </w:tr>
      <w:tr>
        <w:trPr>
          <w:trHeight w:val="360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 (56.1)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 (65.4)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(38.0)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Age.when.dyspareunia.began..median..IQR..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21.00 [18.00, 23.75]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21.00 [19.00, 23.25]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20.00 [18.00, 21.75]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0.679</w:t>
            </w:r>
          </w:p>
        </w:tc>
      </w:tr>
      <w:tr>
        <w:trPr>
          <w:trHeight w:val="360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Dyspareunia.during.most.recent.sexual.intercourse....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186 (69.7)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 (62.3)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 (88.5)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0.493</w:t>
            </w:r>
          </w:p>
        </w:tc>
      </w:tr>
      <w:tr>
        <w:trPr>
          <w:trHeight w:val="360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Yes, both during and in the 24 hours following intercourse/penetration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(7.1)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(8.5)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(4.9)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Yes, during intercourse/penetration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 (15.7)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(18.5)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(4.9)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Yes, in the 24 hours following intercourse/penetration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(7.5)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(10.8)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Max.severity.of.dyspareunia.during.most.recent.sexual.intercourse..median..IQR..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3.00]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0.087</w:t>
            </w:r>
          </w:p>
        </w:tc>
      </w:tr>
      <w:tr>
        <w:trPr>
          <w:trHeight w:val="360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Frequency.of.dyspareunia..last.12.months....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Always (every time)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0.970</w:t>
            </w:r>
          </w:p>
        </w:tc>
      </w:tr>
      <w:tr>
        <w:trPr>
          <w:trHeight w:val="360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Never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 (24.2)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 (23.8)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(27.9)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Occasionally (less than a quarter of times)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151 (56.1)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 (56.2)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 (60.7)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Often (a quarter to half of the times)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 (9.7)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(11.5)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(8.2)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Usually (more than half of the times)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(7.4)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(6.2)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Dyspareunia.resulting.in.disruption.of.sexual.intercourse....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190 (70.6)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 (69.2)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 (80.3)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0.865</w:t>
            </w:r>
          </w:p>
        </w:tc>
      </w:tr>
      <w:tr>
        <w:trPr>
          <w:trHeight w:val="360" w:hRule="auto"/>
        </w:trPr>
        body37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 (29.4)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 (30.8)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(19.7)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Days.of.complete.menstrual.diary.data..median..IQR..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[5.00, 5.00]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[5.00, 5.00]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[5.00, 5.00]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0.720</w:t>
            </w:r>
          </w:p>
        </w:tc>
      </w:tr>
      <w:tr>
        <w:trPr>
          <w:trHeight w:val="360" w:hRule="auto"/>
        </w:trPr>
        body39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Days.of.bleeding.reported.on.diary..median..IQR..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[5.00, 5.00]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[5.00, 5.00]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[5.00, 5.00]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0.428</w:t>
            </w:r>
          </w:p>
        </w:tc>
      </w:tr>
      <w:tr>
        <w:trPr>
          <w:trHeight w:val="360" w:hRule="auto"/>
        </w:trPr>
        body40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Days.of.moderate.to.heavy.bleeding.reported.on.diary..median..IQR..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[2.00, 3.00]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[2.00, 3.00]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[1.00, 3.00]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0.995</w:t>
            </w:r>
          </w:p>
        </w:tc>
      </w:tr>
      <w:tr>
        <w:trPr>
          <w:trHeight w:val="360" w:hRule="auto"/>
        </w:trPr>
        body41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Average.pelvic.pain..24.hours.before.period.onset..median..IQR..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[1.00, 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[1.00, 6.00]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0.038</w:t>
            </w:r>
          </w:p>
        </w:tc>
      </w:tr>
      <w:tr>
        <w:trPr>
          <w:trHeight w:val="360" w:hRule="auto"/>
        </w:trPr>
        body42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Days.with.menstrual.pain...3.reported.on.diary..median..IQR..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[1.00, 3.00]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[2.00, 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0.029</w:t>
            </w:r>
          </w:p>
        </w:tc>
      </w:tr>
      <w:tr>
        <w:trPr>
          <w:trHeight w:val="360" w:hRule="auto"/>
        </w:trPr>
        body43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Average.menstrual.pain.reported.on.diary..median..IQR..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3.20 [2.40, 4.40]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3.80 [2.80, 5.15]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0.20 [0.00, 0.60]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body44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Max.menstrual.pain.reported.on.diary..median..IQR..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[6.00, 8.00]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[6.00, 8.00]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0.035</w:t>
            </w:r>
          </w:p>
        </w:tc>
      </w:tr>
      <w:tr>
        <w:trPr>
          <w:trHeight w:val="360" w:hRule="auto"/>
        </w:trPr>
        body45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Max.bowel.pain.reported.on.diary..median..IQR..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[1.00, 5.00]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[3.00,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body46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Max.bladder.pain.reported.on.diary..median..IQR..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3.00]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[1.00, 6.00]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body47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Days.of.pain.reliever.usage.reported.on.diary..median..IQR..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2.50]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0.757</w:t>
            </w:r>
          </w:p>
        </w:tc>
      </w:tr>
      <w:tr>
        <w:trPr>
          <w:trHeight w:val="360" w:hRule="auto"/>
        </w:trPr>
        body48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Meets.criteria.for.Vulvodynia....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240 (89.2)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113 (86.9)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 (91.8)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0.613</w:t>
            </w:r>
          </w:p>
        </w:tc>
      </w:tr>
      <w:tr>
        <w:trPr>
          <w:trHeight w:val="360" w:hRule="auto"/>
        </w:trPr>
        body49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 (10.8)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(13.1)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(8.2)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body50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Meets.criteria.for.Diagnosed.Endometriosis....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269 (100.0)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130 (100.0)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 (100.0)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2026-02-26T10:20:06Z</dcterms:modified>
  <cp:category/>
</cp:coreProperties>
</file>