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keepNext w:val="true"/>
        <w:keepLines/>
        <w:spacing w:before="480" w:after="283"/>
        <w:rPr/>
      </w:pPr>
      <w:r>
        <w:rPr/>
        <w:t>Flux d'authentification complet : de l'appel à l'authentification finale</w:t>
      </w:r>
    </w:p>
    <w:p>
      <w:pPr>
        <w:pStyle w:val="Corpsdetexte"/>
        <w:rPr/>
      </w:pPr>
      <w:r>
        <w:rPr/>
        <w:t>Ce document décrit en détail le processus d'authentification et de rafraîchissement des tokens dans votre application Symfony, en se basant sur les fichiers de configuration et les classes de code que vous avez fournis.</w:t>
      </w:r>
    </w:p>
    <w:p>
      <w:pPr>
        <w:pStyle w:val="Titre3"/>
        <w:spacing w:before="200" w:after="283"/>
        <w:rPr/>
      </w:pPr>
      <w:r>
        <w:rPr/>
        <w:t>1. La connexion initiale (</w:t>
      </w:r>
      <w:r>
        <w:rPr>
          <w:rStyle w:val="Textesource"/>
        </w:rPr>
        <w:t>/api/login_check</w:t>
      </w:r>
      <w:r>
        <w:rPr/>
        <w:t>)</w:t>
      </w:r>
    </w:p>
    <w:p>
      <w:pPr>
        <w:pStyle w:val="Corpsdetexte"/>
        <w:rPr/>
      </w:pPr>
      <w:r>
        <w:rPr/>
        <w:t xml:space="preserve">Ce processus est déclenché lorsque l'utilisateur envoie son email et son mot de passe via une requête </w:t>
      </w:r>
      <w:r>
        <w:rPr>
          <w:rStyle w:val="Textesource"/>
        </w:rPr>
        <w:t>POST</w:t>
      </w:r>
      <w:r>
        <w:rPr/>
        <w:t xml:space="preserve"> à la route </w:t>
      </w:r>
      <w:r>
        <w:rPr>
          <w:rStyle w:val="Textesource"/>
        </w:rPr>
        <w:t>/api/login_check</w:t>
      </w:r>
      <w:r>
        <w:rPr/>
        <w:t>.</w:t>
      </w:r>
    </w:p>
    <w:p>
      <w:pPr>
        <w:pStyle w:val="Corpsdetexte"/>
        <w:numPr>
          <w:ilvl w:val="0"/>
          <w:numId w:val="7"/>
        </w:numPr>
        <w:tabs>
          <w:tab w:val="clear" w:pos="720"/>
          <w:tab w:val="left" w:pos="0" w:leader="none"/>
        </w:tabs>
        <w:ind w:left="707" w:hanging="283"/>
        <w:rPr/>
      </w:pPr>
      <w:r>
        <w:rPr>
          <w:rStyle w:val="Textesource"/>
        </w:rPr>
        <w:t>security.yaml</w:t>
      </w:r>
      <w:r>
        <w:rPr>
          <w:rStyle w:val="Accentuationforte"/>
        </w:rPr>
        <w:t xml:space="preserve"> (firewall </w:t>
      </w:r>
      <w:r>
        <w:rPr>
          <w:rStyle w:val="Textesource"/>
        </w:rPr>
        <w:t>login</w:t>
      </w:r>
      <w:r>
        <w:rPr>
          <w:rStyle w:val="Accentuationforte"/>
        </w:rPr>
        <w:t>)</w:t>
      </w:r>
      <w:r>
        <w:rPr/>
        <w:t xml:space="preserve"> : Le </w:t>
      </w:r>
      <w:r>
        <w:rPr>
          <w:rStyle w:val="Accentuationforte"/>
        </w:rPr>
        <w:t xml:space="preserve">pare-feu </w:t>
      </w:r>
      <w:r>
        <w:rPr>
          <w:rStyle w:val="Textesource"/>
        </w:rPr>
        <w:t>login</w:t>
      </w:r>
      <w:r>
        <w:rPr/>
        <w:t xml:space="preserve"> intercepte cette requête. Il est configuré pour utiliser l'authentificateur </w:t>
      </w:r>
      <w:r>
        <w:rPr>
          <w:rStyle w:val="Textesource"/>
        </w:rPr>
        <w:t>json_login</w:t>
      </w:r>
      <w:r>
        <w:rPr/>
        <w:t xml:space="preserve">, qui lit directement les identifiants de l'utilisateur depuis le corps JSON de la requête. Grâce à la configuration </w:t>
      </w:r>
      <w:r>
        <w:rPr>
          <w:rStyle w:val="Textesource"/>
        </w:rPr>
        <w:t>provider: app_user_provider</w:t>
      </w:r>
      <w:r>
        <w:rPr/>
        <w:t xml:space="preserve">, Symfony sait où chercher l'utilisateur (dans la table </w:t>
      </w:r>
      <w:r>
        <w:rPr>
          <w:rStyle w:val="Textesource"/>
        </w:rPr>
        <w:t>User</w:t>
      </w:r>
      <w:r>
        <w:rPr/>
        <w:t xml:space="preserve"> par email). Le </w:t>
      </w:r>
      <w:r>
        <w:rPr>
          <w:rStyle w:val="Accentuationforte"/>
        </w:rPr>
        <w:t>password hasher</w:t>
      </w:r>
      <w:r>
        <w:rPr/>
        <w:t xml:space="preserve"> de Symfony compare ensuite le mot de passe reçu avec le mot de passe haché en base de données.</w:t>
      </w:r>
    </w:p>
    <w:p>
      <w:pPr>
        <w:pStyle w:val="Corpsdetexte"/>
        <w:numPr>
          <w:ilvl w:val="1"/>
          <w:numId w:val="7"/>
        </w:numPr>
        <w:tabs>
          <w:tab w:val="clear" w:pos="720"/>
          <w:tab w:val="left" w:pos="0" w:leader="none"/>
        </w:tabs>
        <w:ind w:left="1414" w:hanging="283"/>
        <w:rPr/>
      </w:pPr>
      <w:r>
        <w:rPr>
          <w:rStyle w:val="Accentuationforte"/>
        </w:rPr>
        <w:t>Lien avec le code</w:t>
      </w:r>
      <w:r>
        <w:rPr/>
        <w:t xml:space="preserve"> : C'est une action interne de Symfony. Il n'y a pas de code explicite pour cette vérification, c'est la configuration qui l'active.</w:t>
      </w:r>
    </w:p>
    <w:p>
      <w:pPr>
        <w:pStyle w:val="Corpsdetexte"/>
        <w:numPr>
          <w:ilvl w:val="0"/>
          <w:numId w:val="7"/>
        </w:numPr>
        <w:tabs>
          <w:tab w:val="clear" w:pos="720"/>
          <w:tab w:val="left" w:pos="0" w:leader="none"/>
        </w:tabs>
        <w:ind w:left="707" w:hanging="283"/>
        <w:rPr/>
      </w:pPr>
      <w:r>
        <w:rPr>
          <w:rStyle w:val="Textesource"/>
        </w:rPr>
        <w:t>lexik_jwt_authentication</w:t>
      </w:r>
      <w:r>
        <w:rPr/>
        <w:t xml:space="preserve"> : Si l'authentification est un succès, Symfony déclenche le </w:t>
      </w:r>
      <w:r>
        <w:rPr>
          <w:rStyle w:val="Textesource"/>
        </w:rPr>
        <w:t>success_handler: lexik_jwt_authentication.handler.authentication_success</w:t>
      </w:r>
      <w:r>
        <w:rPr/>
        <w:t xml:space="preserve">. Ce service génère un </w:t>
      </w:r>
      <w:r>
        <w:rPr>
          <w:rStyle w:val="Accentuationforte"/>
        </w:rPr>
        <w:t>token JWT</w:t>
      </w:r>
      <w:r>
        <w:rPr/>
        <w:t xml:space="preserve"> (token d'accès) et le place dans le corps de la réponse JSON, sous la clé </w:t>
      </w:r>
      <w:r>
        <w:rPr>
          <w:rStyle w:val="Textesource"/>
        </w:rPr>
        <w:t>'token'</w:t>
      </w:r>
      <w:r>
        <w:rPr/>
        <w:t>.</w:t>
      </w:r>
    </w:p>
    <w:p>
      <w:pPr>
        <w:pStyle w:val="Corpsdetexte"/>
        <w:numPr>
          <w:ilvl w:val="0"/>
          <w:numId w:val="7"/>
        </w:numPr>
        <w:tabs>
          <w:tab w:val="clear" w:pos="720"/>
          <w:tab w:val="left" w:pos="0" w:leader="none"/>
        </w:tabs>
        <w:ind w:left="707" w:hanging="283"/>
        <w:rPr/>
      </w:pPr>
      <w:r>
        <w:rPr>
          <w:rStyle w:val="Textesource"/>
        </w:rPr>
        <w:t>services.yaml</w:t>
      </w:r>
      <w:r>
        <w:rPr>
          <w:rStyle w:val="Accentuationforte"/>
        </w:rPr>
        <w:t xml:space="preserve"> et </w:t>
      </w:r>
      <w:r>
        <w:rPr>
          <w:rStyle w:val="Textesource"/>
        </w:rPr>
        <w:t>AuthenticationSuccessListener</w:t>
      </w:r>
      <w:r>
        <w:rPr/>
        <w:t xml:space="preserve"> : Le service </w:t>
      </w:r>
      <w:r>
        <w:rPr>
          <w:rStyle w:val="Textesource"/>
        </w:rPr>
        <w:t>App\EventListener\AuthenticationSuccessListener</w:t>
      </w:r>
      <w:r>
        <w:rPr/>
        <w:t xml:space="preserve"> est déclaré dans </w:t>
      </w:r>
      <w:r>
        <w:rPr>
          <w:rStyle w:val="Textesource"/>
        </w:rPr>
        <w:t>services.yaml</w:t>
      </w:r>
      <w:r>
        <w:rPr/>
        <w:t xml:space="preserve"> avec un tag qui le lie à l'événement </w:t>
      </w:r>
      <w:r>
        <w:rPr>
          <w:rStyle w:val="Textesource"/>
        </w:rPr>
        <w:t>lexik_jwt_authentication.on_authentication_success</w:t>
      </w:r>
      <w:r>
        <w:rPr/>
        <w:t xml:space="preserve">. Quand cet événement est déclenché par Lexik, le listener s'exécute. Il génère un </w:t>
      </w:r>
      <w:r>
        <w:rPr>
          <w:rStyle w:val="Accentuationforte"/>
        </w:rPr>
        <w:t>refresh token</w:t>
      </w:r>
      <w:r>
        <w:rPr/>
        <w:t xml:space="preserve"> de longue durée, l'enregistre en base de données et l'ajoute au corps de la réponse JSON, sous la clé </w:t>
      </w:r>
      <w:r>
        <w:rPr>
          <w:rStyle w:val="Textesource"/>
        </w:rPr>
        <w:t>'refresh_token'</w:t>
      </w:r>
      <w:r>
        <w:rPr/>
        <w:t>.</w:t>
      </w:r>
    </w:p>
    <w:p>
      <w:pPr>
        <w:pStyle w:val="Corpsdetexte"/>
        <w:numPr>
          <w:ilvl w:val="1"/>
          <w:numId w:val="7"/>
        </w:numPr>
        <w:tabs>
          <w:tab w:val="clear" w:pos="720"/>
          <w:tab w:val="left" w:pos="0" w:leader="none"/>
        </w:tabs>
        <w:ind w:left="1414" w:hanging="283"/>
        <w:rPr/>
      </w:pPr>
      <w:r>
        <w:rPr>
          <w:rStyle w:val="Accentuationforte"/>
        </w:rPr>
        <w:t>Lien avec le code</w:t>
      </w:r>
      <w:r>
        <w:rPr/>
        <w:t xml:space="preserve"> : Le </w:t>
      </w:r>
      <w:r>
        <w:rPr>
          <w:rStyle w:val="Textesource"/>
        </w:rPr>
        <w:t>services.yaml</w:t>
      </w:r>
      <w:r>
        <w:rPr/>
        <w:t xml:space="preserve"> contient la ligne </w:t>
      </w:r>
      <w:r>
        <w:rPr>
          <w:rStyle w:val="Textesource"/>
        </w:rPr>
        <w:t>name: lexik_jwt_authentication.on_authentication_success</w:t>
      </w:r>
      <w:r>
        <w:rPr/>
        <w:t xml:space="preserve"> qui fait le lien.</w:t>
      </w:r>
    </w:p>
    <w:p>
      <w:pPr>
        <w:pStyle w:val="Corpsdetexte"/>
        <w:numPr>
          <w:ilvl w:val="0"/>
          <w:numId w:val="7"/>
        </w:numPr>
        <w:tabs>
          <w:tab w:val="clear" w:pos="720"/>
          <w:tab w:val="left" w:pos="0" w:leader="none"/>
        </w:tabs>
        <w:ind w:left="707" w:hanging="283"/>
        <w:rPr/>
      </w:pPr>
      <w:r>
        <w:rPr>
          <w:rStyle w:val="Textesource"/>
        </w:rPr>
        <w:t>services.yaml</w:t>
      </w:r>
      <w:r>
        <w:rPr>
          <w:rStyle w:val="Accentuationforte"/>
        </w:rPr>
        <w:t xml:space="preserve"> et </w:t>
      </w:r>
      <w:r>
        <w:rPr>
          <w:rStyle w:val="Textesource"/>
        </w:rPr>
        <w:t>JwtCookieListener</w:t>
      </w:r>
      <w:r>
        <w:rPr/>
        <w:t xml:space="preserve"> : Juste avant que la réponse ne soit envoyée, le service </w:t>
      </w:r>
      <w:r>
        <w:rPr>
          <w:rStyle w:val="Textesource"/>
        </w:rPr>
        <w:t>App\EventListener\JwtCookieListener</w:t>
      </w:r>
      <w:r>
        <w:rPr/>
        <w:t xml:space="preserve"> est activé. Il est déclaré dans </w:t>
      </w:r>
      <w:r>
        <w:rPr>
          <w:rStyle w:val="Textesource"/>
        </w:rPr>
        <w:t>services.yaml</w:t>
      </w:r>
      <w:r>
        <w:rPr/>
        <w:t xml:space="preserve"> comme un écouteur de l'événement </w:t>
      </w:r>
      <w:r>
        <w:rPr>
          <w:rStyle w:val="Textesource"/>
        </w:rPr>
        <w:t>kernel.response</w:t>
      </w:r>
      <w:r>
        <w:rPr/>
        <w:t xml:space="preserve">. Il intercepte la réponse, récupère les deux tokens du corps JSON, les place dans des cookies HTTP nommés </w:t>
      </w:r>
      <w:r>
        <w:rPr>
          <w:rStyle w:val="Textesource"/>
        </w:rPr>
        <w:t>BEARER</w:t>
      </w:r>
      <w:r>
        <w:rPr/>
        <w:t xml:space="preserve"> et </w:t>
      </w:r>
      <w:r>
        <w:rPr>
          <w:rStyle w:val="Textesource"/>
        </w:rPr>
        <w:t>REFRESH_TOKEN</w:t>
      </w:r>
      <w:r>
        <w:rPr/>
        <w:t>, puis les supprime du corps JSON.</w:t>
      </w:r>
    </w:p>
    <w:p>
      <w:pPr>
        <w:pStyle w:val="Corpsdetexte"/>
        <w:numPr>
          <w:ilvl w:val="1"/>
          <w:numId w:val="7"/>
        </w:numPr>
        <w:tabs>
          <w:tab w:val="clear" w:pos="720"/>
          <w:tab w:val="left" w:pos="0" w:leader="none"/>
        </w:tabs>
        <w:ind w:left="1414" w:hanging="283"/>
        <w:rPr/>
      </w:pPr>
      <w:r>
        <w:rPr>
          <w:rStyle w:val="Accentuationforte"/>
        </w:rPr>
        <w:t>Lien avec le code</w:t>
      </w:r>
      <w:r>
        <w:rPr/>
        <w:t xml:space="preserve"> : La ligne </w:t>
      </w:r>
      <w:r>
        <w:rPr>
          <w:rStyle w:val="Textesource"/>
        </w:rPr>
        <w:t>name: kernel.event_listener, event: kernel.response</w:t>
      </w:r>
      <w:r>
        <w:rPr/>
        <w:t xml:space="preserve"> dans </w:t>
      </w:r>
      <w:r>
        <w:rPr>
          <w:rStyle w:val="Textesource"/>
        </w:rPr>
        <w:t>services.yaml</w:t>
      </w:r>
      <w:r>
        <w:rPr/>
        <w:t xml:space="preserve"> assure que ce listener s'active au bon moment.</w:t>
      </w:r>
    </w:p>
    <w:p>
      <w:pPr>
        <w:pStyle w:val="Corpsdetexte"/>
        <w:rPr/>
      </w:pPr>
      <w:r>
        <w:rPr/>
        <w:t>Finalement, la réponse est envoyée au navigateur, qui stocke automatiquement les deux cookies pour les requêtes futures.</w:t>
      </w:r>
    </w:p>
    <w:p>
      <w:pPr>
        <w:pStyle w:val="Titre3"/>
        <w:spacing w:before="200" w:after="283"/>
        <w:rPr/>
      </w:pPr>
      <w:r>
        <w:rPr/>
      </w:r>
    </w:p>
    <w:p>
      <w:pPr>
        <w:pStyle w:val="Normal"/>
        <w:spacing w:before="200" w:after="283"/>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Textesource">
    <w:name w:val="Texte source"/>
    <w:qFormat/>
    <w:rPr>
      <w:rFonts w:ascii="Liberation Mono" w:hAnsi="Liberation Mono" w:eastAsia="Liberation Mono" w:cs="Liberation Mono"/>
    </w:rPr>
  </w:style>
  <w:style w:type="character" w:styleId="Puces">
    <w:name w:val="Puces"/>
    <w:qFormat/>
    <w:rPr>
      <w:rFonts w:ascii="OpenSymbol" w:hAnsi="OpenSymbol" w:eastAsia="OpenSymbol" w:cs="OpenSymbol"/>
    </w:rPr>
  </w:style>
  <w:style w:type="character" w:styleId="Accentuationforte">
    <w:name w:val="Accentuation forte"/>
    <w:qFormat/>
    <w:rPr>
      <w:b/>
      <w:bCs/>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Titre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Application>LibreOffice/7.2.0.4$Windows_x86 LibreOffice_project/9a9c6381e3f7a62afc1329bd359cc48accb6435b</Application>
  <AppVersion>15.0000</AppVersion>
  <Pages>4</Pages>
  <Words>782</Words>
  <Characters>4997</Characters>
  <CharactersWithSpaces>5848</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2025-08-09T15:14:08Z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