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E966E7">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2C177D">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E966E7">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2C177D">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 xml:space="preserve">Another popular approach to </w:t>
      </w:r>
      <w:proofErr w:type="spellStart"/>
      <w:r>
        <w:t>commonsense</w:t>
      </w:r>
      <w:proofErr w:type="spellEnd"/>
      <w:r>
        <w:t xml:space="preserve"> causal reasoning is the Choices of Plausible Alternatives (COPA) dataset. The COPA dataset was developed by Andrew Gordon as an evaluation tool for “open-domain </w:t>
      </w:r>
      <w:proofErr w:type="spellStart"/>
      <w:r>
        <w:t>commonsense</w:t>
      </w:r>
      <w:proofErr w:type="spellEnd"/>
      <w:r>
        <w:t xml:space="preserv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 xml:space="preserve">Although RTE was a great evaluation tool for inferential capability, it was found to be much less useful for evaluating </w:t>
      </w:r>
      <w:proofErr w:type="spellStart"/>
      <w:r>
        <w:t>commonsense</w:t>
      </w:r>
      <w:proofErr w:type="spellEnd"/>
      <w:r>
        <w:t xml:space="preserv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 xml:space="preserve">In order to test for </w:t>
      </w:r>
      <w:proofErr w:type="spellStart"/>
      <w:r>
        <w:t>commonsense</w:t>
      </w:r>
      <w:proofErr w:type="spellEnd"/>
      <w:r>
        <w:t xml:space="preserv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lastRenderedPageBreak/>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This intuition or “</w:t>
      </w:r>
      <w:proofErr w:type="spellStart"/>
      <w:r>
        <w:rPr>
          <w:color w:val="000000" w:themeColor="text1"/>
        </w:rPr>
        <w:t>commonsense</w:t>
      </w:r>
      <w:proofErr w:type="spellEnd"/>
      <w:r>
        <w:rPr>
          <w:color w:val="000000" w:themeColor="text1"/>
        </w:rPr>
        <w:t xml:space="preserv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 xml:space="preserve">The COPA dataset provides a way to test a system’s or AI’s ability to make </w:t>
      </w:r>
      <w:proofErr w:type="spellStart"/>
      <w:r>
        <w:rPr>
          <w:color w:val="000000" w:themeColor="text1"/>
        </w:rPr>
        <w:t>commonsense</w:t>
      </w:r>
      <w:proofErr w:type="spellEnd"/>
      <w:r>
        <w:rPr>
          <w:color w:val="000000" w:themeColor="text1"/>
        </w:rPr>
        <w:t xml:space="preserv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70009910" w14:textId="2B6F04B5" w:rsidR="00F140AB" w:rsidRPr="004B2109" w:rsidRDefault="003D091A" w:rsidP="004B2109">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w:t>
      </w:r>
      <w:proofErr w:type="spellStart"/>
      <w:r>
        <w:rPr>
          <w:color w:val="000000" w:themeColor="text1"/>
        </w:rPr>
        <w:t>commonsense</w:t>
      </w:r>
      <w:proofErr w:type="spellEnd"/>
      <w:r>
        <w:rPr>
          <w:color w:val="000000" w:themeColor="text1"/>
        </w:rPr>
        <w:t>”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48F63AD2" w:rsidR="0048280E" w:rsidRPr="00AE71DD" w:rsidRDefault="0048280E" w:rsidP="0048280E">
      <w:pPr>
        <w:rPr>
          <w:rFonts w:ascii="AppleSystemUIFont" w:hAnsi="AppleSystemUIFont" w:cs="AppleSystemUIFont"/>
        </w:rPr>
      </w:pPr>
      <w:r>
        <w:rPr>
          <w:rFonts w:ascii="Helvetica" w:hAnsi="Helvetica" w:cs="Helvetica"/>
          <w:color w:val="000000"/>
        </w:rPr>
        <w:t>Word count: 6</w:t>
      </w:r>
      <w:r w:rsidR="00003009">
        <w:rPr>
          <w:rFonts w:ascii="Helvetica" w:hAnsi="Helvetica" w:cs="Helvetica"/>
          <w:color w:val="000000"/>
        </w:rPr>
        <w:t>24 (in</w:t>
      </w:r>
      <w:r w:rsidR="00317973">
        <w:rPr>
          <w:rFonts w:ascii="Helvetica" w:hAnsi="Helvetica" w:cs="Helvetica"/>
          <w:color w:val="000000"/>
        </w:rPr>
        <w:t>c.</w:t>
      </w:r>
      <w:r w:rsidR="00003009">
        <w:rPr>
          <w:rFonts w:ascii="Helvetica" w:hAnsi="Helvetica" w:cs="Helvetica"/>
          <w:color w:val="000000"/>
        </w:rPr>
        <w:t xml:space="preserve"> formulae)</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113D12" w:rsidRDefault="00FB2C32" w:rsidP="00C3147C">
      <w:pPr>
        <w:rPr>
          <w:b/>
          <w:bCs/>
        </w:rPr>
      </w:pPr>
      <w:r w:rsidRPr="00113D12">
        <w:rPr>
          <w:b/>
          <w:bCs/>
          <w:color w:val="000000"/>
        </w:rPr>
        <w:t>Problem 2</w:t>
      </w:r>
      <w:r w:rsidR="00C3147C" w:rsidRPr="00113D12">
        <w:rPr>
          <w:b/>
          <w:bCs/>
          <w:color w:val="000000"/>
        </w:rPr>
        <w:t xml:space="preserve">: </w:t>
      </w:r>
      <w:r w:rsidR="00C3147C" w:rsidRPr="00113D12">
        <w:rPr>
          <w:b/>
          <w:bCs/>
        </w:rPr>
        <w:t xml:space="preserve">From a collection of Winograd schemas, number 148 </w:t>
      </w:r>
      <w:r w:rsidR="005A31D1" w:rsidRPr="00113D12">
        <w:rPr>
          <w:b/>
          <w:bCs/>
        </w:rPr>
        <w:t>(Davis E. et al 2011)</w:t>
      </w:r>
      <w:r w:rsidR="00C3147C" w:rsidRPr="00113D12">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lastRenderedPageBreak/>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lastRenderedPageBreak/>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p w14:paraId="04E27872" w14:textId="0740AF22" w:rsidR="00003009" w:rsidRPr="007C10FC" w:rsidRDefault="00003009" w:rsidP="00003009">
      <w:r w:rsidRPr="007C10FC">
        <w:t xml:space="preserve">Word </w:t>
      </w:r>
      <w:proofErr w:type="gramStart"/>
      <w:r w:rsidRPr="007C10FC">
        <w:t>count :</w:t>
      </w:r>
      <w:proofErr w:type="gramEnd"/>
      <w:r w:rsidRPr="007C10FC">
        <w:t xml:space="preserve"> 569 (inc. formulae)</w:t>
      </w:r>
    </w:p>
    <w:bookmarkEnd w:id="1"/>
    <w:p w14:paraId="17D8D4C6" w14:textId="77777777" w:rsidR="00A95E5B" w:rsidRPr="007C10FC" w:rsidRDefault="00A95E5B" w:rsidP="00A95E5B">
      <w:pPr>
        <w:pStyle w:val="Heading2"/>
      </w:pPr>
    </w:p>
    <w:p w14:paraId="7A3C8258" w14:textId="77777777" w:rsidR="006D5715" w:rsidRDefault="00A95E5B" w:rsidP="00A95E5B">
      <w:pPr>
        <w:pStyle w:val="Heading2"/>
      </w:pPr>
      <w:r w:rsidRPr="00A95E5B">
        <w:t>Example 3</w:t>
      </w:r>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w:t>
      </w:r>
      <w:proofErr w:type="spellStart"/>
      <w:r w:rsidR="002C3431">
        <w:rPr>
          <w:color w:val="000000" w:themeColor="text1"/>
        </w:rPr>
        <w:t>commonsense</w:t>
      </w:r>
      <w:proofErr w:type="spellEnd"/>
      <w:r w:rsidR="002C3431">
        <w:rPr>
          <w:color w:val="000000" w:themeColor="text1"/>
        </w:rPr>
        <w:t>”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w:t>
      </w:r>
      <w:r w:rsidR="00D82B50">
        <w:rPr>
          <w:color w:val="000000" w:themeColor="text1"/>
        </w:rPr>
        <w:lastRenderedPageBreak/>
        <w:t>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lastRenderedPageBreak/>
        <w:t>Co</w:t>
      </w:r>
      <w:r w:rsidR="008E147B">
        <w:t>n</w:t>
      </w:r>
      <w:r w:rsidRPr="00A95E5B">
        <w:t>clusion</w:t>
      </w:r>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545EE6A9"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w:t>
      </w:r>
      <w:r w:rsidR="007F41C7">
        <w:rPr>
          <w:rFonts w:ascii="Calibri" w:hAnsi="Calibri" w:cs="Calibri"/>
        </w:rPr>
        <w:t>cognitive</w:t>
      </w:r>
      <w:r w:rsidR="00AE2BD9">
        <w:rPr>
          <w:rFonts w:ascii="Calibri" w:hAnsi="Calibri" w:cs="Calibri"/>
        </w:rPr>
        <w:t xml:space="preserve"> processes, and so a computer may appear to be ‘thinking’ like a human, but really be following none of the same processes (the human </w:t>
      </w:r>
      <w:r w:rsidR="00AE2BD9">
        <w:rPr>
          <w:rFonts w:ascii="Calibri" w:hAnsi="Calibri" w:cs="Calibri"/>
        </w:rPr>
        <w:lastRenderedPageBreak/>
        <w:t>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2FF37C36" w:rsidR="00AE1536" w:rsidRDefault="00961775" w:rsidP="00961775">
      <w:r>
        <w:t>To dat</w:t>
      </w:r>
      <w:r w:rsidR="007C10FC">
        <w:t>e</w:t>
      </w:r>
      <w:r>
        <w:t xml:space="preserve"> no system has achieved an accuracy of 90% or above on the COPA dataset.</w:t>
      </w:r>
      <w:r w:rsidR="00AE1536">
        <w:t xml:space="preserve"> However, the dataset has inspired many novel approaches to solving </w:t>
      </w:r>
      <w:proofErr w:type="spellStart"/>
      <w:r w:rsidR="00AE1536">
        <w:t>commonsense</w:t>
      </w:r>
      <w:proofErr w:type="spellEnd"/>
      <w:r w:rsidR="00AE1536">
        <w:t xml:space="preserv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 xml:space="preserve">when approached from a KRR standpoint. The use of KRR may be useful for achieving baseline results that could be built on using other approaches to allow greater flexibility when mimicking </w:t>
      </w:r>
      <w:proofErr w:type="spellStart"/>
      <w:r w:rsidR="00205EB3">
        <w:t>commonsense</w:t>
      </w:r>
      <w:proofErr w:type="spellEnd"/>
      <w:r w:rsidR="00205EB3">
        <w:t xml:space="preserve"> reasoning as there is no one right way to infer the correct answer. Designing systems that are able to demonstrate </w:t>
      </w:r>
      <w:proofErr w:type="spellStart"/>
      <w:r w:rsidR="00205EB3">
        <w:t>commonsense</w:t>
      </w:r>
      <w:proofErr w:type="spellEnd"/>
      <w:r w:rsidR="00205EB3">
        <w:t xml:space="preserve"> reasoning to accurately solve COPA and Winograd Schemas is difficult. This is only made more difficult when designing a system that is able to generalise and not be able to only demonstrate </w:t>
      </w:r>
      <w:proofErr w:type="spellStart"/>
      <w:r w:rsidR="00205EB3">
        <w:t>commonsense</w:t>
      </w:r>
      <w:proofErr w:type="spellEnd"/>
      <w:r w:rsidR="00205EB3">
        <w:t xml:space="preserve"> reasoning in one specific area.</w:t>
      </w:r>
    </w:p>
    <w:p w14:paraId="12216345" w14:textId="77777777" w:rsidR="00AE1536" w:rsidRDefault="00AE1536" w:rsidP="00961775"/>
    <w:p w14:paraId="27D5551E" w14:textId="46980E0A" w:rsid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w:t>
      </w:r>
      <w:proofErr w:type="spellStart"/>
      <w:r w:rsidR="00E5440C">
        <w:t>commonsense</w:t>
      </w:r>
      <w:proofErr w:type="spellEnd"/>
      <w:r w:rsidR="00E5440C">
        <w:t xml:space="preserve"> reasoning</w:t>
      </w:r>
      <w:r w:rsidR="00F30967">
        <w:t>,</w:t>
      </w:r>
      <w:r w:rsidR="00E5440C">
        <w:t xml:space="preserve"> such as Social </w:t>
      </w:r>
      <w:proofErr w:type="spellStart"/>
      <w:r w:rsidR="00E5440C">
        <w:t>IQa</w:t>
      </w:r>
      <w:proofErr w:type="spellEnd"/>
      <w:r>
        <w:t xml:space="preserve"> </w:t>
      </w:r>
      <w:r w:rsidR="00E5440C">
        <w:t xml:space="preserve">which </w:t>
      </w:r>
      <w:r w:rsidR="00F30967">
        <w:t xml:space="preserve">with the use of transfer learning achieves state-of-the-art results for both COPA and Winograd Schemas, provide evermore resources for the development of AI systems capable of </w:t>
      </w:r>
      <w:proofErr w:type="spellStart"/>
      <w:r w:rsidR="00F30967">
        <w:t>commonsense</w:t>
      </w:r>
      <w:proofErr w:type="spellEnd"/>
      <w:r w:rsidR="00F30967">
        <w:t xml:space="preserv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25F72FE" w14:textId="32CB608D" w:rsidR="00AF37A7" w:rsidRDefault="00AF37A7" w:rsidP="00961775"/>
    <w:p w14:paraId="3F43D8BD" w14:textId="28DEAA7F" w:rsidR="00AF37A7" w:rsidRDefault="00AF37A7" w:rsidP="00961775"/>
    <w:p w14:paraId="013F89D4" w14:textId="7D974CA0" w:rsidR="00AF37A7" w:rsidRDefault="00AF37A7" w:rsidP="00961775"/>
    <w:p w14:paraId="30638253" w14:textId="748B7441" w:rsidR="00AF37A7" w:rsidRDefault="00AF37A7" w:rsidP="00961775"/>
    <w:p w14:paraId="24F7D41B" w14:textId="5290D843" w:rsidR="00AF37A7" w:rsidRDefault="00AF37A7" w:rsidP="00961775"/>
    <w:p w14:paraId="19C574FC" w14:textId="47259793" w:rsidR="00AF37A7" w:rsidRDefault="00AF37A7" w:rsidP="00961775"/>
    <w:p w14:paraId="0834CCCE" w14:textId="6CA1AB9D" w:rsidR="00AF37A7" w:rsidRDefault="00AF37A7" w:rsidP="00961775"/>
    <w:p w14:paraId="11418965" w14:textId="77777777" w:rsidR="00AF37A7" w:rsidRPr="00961775" w:rsidRDefault="00AF37A7" w:rsidP="00961775"/>
    <w:p w14:paraId="512FC367" w14:textId="20C79681" w:rsidR="00A95E5B" w:rsidRDefault="00A95E5B" w:rsidP="00A95E5B">
      <w:pPr>
        <w:pStyle w:val="Heading1"/>
      </w:pPr>
      <w:r w:rsidRPr="00A95E5B">
        <w:lastRenderedPageBreak/>
        <w:t>References</w:t>
      </w:r>
    </w:p>
    <w:p w14:paraId="23E5A330" w14:textId="3BB2377D" w:rsidR="00290BC4" w:rsidRDefault="00290BC4" w:rsidP="00290BC4"/>
    <w:p w14:paraId="1E16715E" w14:textId="1169D52D" w:rsidR="00290BC4" w:rsidRDefault="00290BC4" w:rsidP="00290BC4">
      <w:pPr>
        <w:rPr>
          <w:rFonts w:ascii="Calibri" w:hAnsi="Calibri" w:cs="Calibri"/>
          <w:i/>
          <w:iCs/>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2423CE08" w14:textId="0CA3C29B" w:rsidR="0064487E" w:rsidRDefault="0064487E" w:rsidP="00290BC4">
      <w:pPr>
        <w:rPr>
          <w:rFonts w:ascii="Calibri" w:hAnsi="Calibri" w:cs="Calibri"/>
          <w:i/>
          <w:iCs/>
        </w:rPr>
      </w:pPr>
    </w:p>
    <w:p w14:paraId="5C6A24BE" w14:textId="5A6C3F8E" w:rsidR="0064487E" w:rsidRDefault="0064487E" w:rsidP="0064487E">
      <w:r>
        <w:t xml:space="preserve">Bennett, B. 1998. Modal Semantics for Knowledge Bases Dealing with Vague Concepts. </w:t>
      </w:r>
      <w:r w:rsidRPr="00222BB9">
        <w:rPr>
          <w:i/>
          <w:iCs/>
        </w:rPr>
        <w:t>Principles of Knowledge Representation and Reasoning: Proceedings of the Sixth International Conference (KR'98).</w:t>
      </w:r>
      <w:r>
        <w:t xml:space="preserve"> pp.234-244.</w:t>
      </w:r>
    </w:p>
    <w:p w14:paraId="05CF221A" w14:textId="77777777" w:rsidR="005C19AE" w:rsidRDefault="005C19AE" w:rsidP="0064487E"/>
    <w:p w14:paraId="016D628B" w14:textId="014C6BD3" w:rsidR="0064487E" w:rsidRDefault="0064487E" w:rsidP="00290BC4">
      <w:r>
        <w:t xml:space="preserve">Bennett, B. 2005. Modes of concept definition and varieties of vagueness. </w:t>
      </w:r>
      <w:r w:rsidRPr="00222BB9">
        <w:rPr>
          <w:i/>
          <w:iCs/>
        </w:rPr>
        <w:t>Applied Ontology</w:t>
      </w:r>
      <w:r>
        <w:t>. 1(1), pp.17-26.</w:t>
      </w:r>
    </w:p>
    <w:p w14:paraId="6BD12882" w14:textId="520BFF88" w:rsidR="00031F51" w:rsidRDefault="00031F51" w:rsidP="00290BC4"/>
    <w:p w14:paraId="3156F6F9" w14:textId="65D06AD0" w:rsidR="00031F51" w:rsidRDefault="00031F51" w:rsidP="00290BC4">
      <w:proofErr w:type="spellStart"/>
      <w:r>
        <w:t>Besnard</w:t>
      </w:r>
      <w:proofErr w:type="spellEnd"/>
      <w:r>
        <w:t xml:space="preserve">, P. 1989. Nonmonotonic Extensions for First Order Logic. </w:t>
      </w:r>
      <w:r w:rsidR="00222BB9">
        <w:t xml:space="preserve">In: </w:t>
      </w:r>
      <w:r w:rsidRPr="00222BB9">
        <w:rPr>
          <w:i/>
          <w:iCs/>
        </w:rPr>
        <w:t>An Introduction to Default Logic. Symbolic Computation (Artificial Intelligence).</w:t>
      </w:r>
      <w:r>
        <w:t xml:space="preserve">  Springer, Berlin, Heidelberg.</w:t>
      </w:r>
    </w:p>
    <w:p w14:paraId="0652289A" w14:textId="18EC4A1B" w:rsidR="00493198" w:rsidRDefault="00493198" w:rsidP="00290BC4"/>
    <w:p w14:paraId="3BE39D17" w14:textId="0CB0EA51" w:rsidR="00493198" w:rsidRPr="00493198" w:rsidRDefault="00493198" w:rsidP="00493198">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Chakraborty, S. and Sundararajan, K.K. 2007. Winograd's algorithm statistically revisited: It pays to weigh than to count! </w:t>
      </w:r>
      <w:r w:rsidRPr="003A6655">
        <w:rPr>
          <w:rFonts w:asciiTheme="minorHAnsi" w:hAnsiTheme="minorHAnsi" w:cstheme="minorHAnsi"/>
          <w:i/>
          <w:sz w:val="24"/>
          <w:szCs w:val="24"/>
        </w:rPr>
        <w:t>Applied Mathematics and Computation.</w:t>
      </w:r>
      <w:r w:rsidRPr="003A6655">
        <w:rPr>
          <w:rFonts w:asciiTheme="minorHAnsi" w:hAnsiTheme="minorHAnsi" w:cstheme="minorHAnsi"/>
          <w:sz w:val="24"/>
          <w:szCs w:val="24"/>
        </w:rPr>
        <w:t xml:space="preserve"> </w:t>
      </w:r>
      <w:r w:rsidRPr="003A6655">
        <w:rPr>
          <w:rFonts w:asciiTheme="minorHAnsi" w:hAnsiTheme="minorHAnsi" w:cstheme="minorHAnsi"/>
          <w:b/>
          <w:sz w:val="24"/>
          <w:szCs w:val="24"/>
        </w:rPr>
        <w:t>190</w:t>
      </w:r>
      <w:r w:rsidRPr="003A6655">
        <w:rPr>
          <w:rFonts w:asciiTheme="minorHAnsi" w:hAnsiTheme="minorHAnsi" w:cstheme="minorHAnsi"/>
          <w:sz w:val="24"/>
          <w:szCs w:val="24"/>
        </w:rPr>
        <w:t>(1), pp.15-20.</w:t>
      </w:r>
    </w:p>
    <w:p w14:paraId="6A1845EC" w14:textId="403F662C" w:rsidR="0061473C" w:rsidRDefault="0061473C" w:rsidP="00290BC4"/>
    <w:p w14:paraId="5B3F6DFD" w14:textId="54053E90" w:rsidR="0061473C" w:rsidRPr="0064487E" w:rsidRDefault="0061473C" w:rsidP="00290BC4">
      <w:r>
        <w:t xml:space="preserve">Chen, Y., Li, H. and Xu, Z. 2019. Convolutional Neural Network-Based Question Answering Over Knowledge Base with Type Constraint. </w:t>
      </w:r>
      <w:r w:rsidRPr="00222BB9">
        <w:rPr>
          <w:i/>
          <w:iCs/>
        </w:rPr>
        <w:t>Knowledge Graph and Semantic Computing. Knowledge Computing and Language Understanding. CCKS 2018. Communications in Computer and Information Science.</w:t>
      </w:r>
      <w:r>
        <w:t xml:space="preserve"> 957.</w:t>
      </w:r>
    </w:p>
    <w:p w14:paraId="5E07E1C9" w14:textId="77777777" w:rsidR="00290BC4" w:rsidRPr="00C54DD5" w:rsidRDefault="00290BC4" w:rsidP="00290BC4">
      <w:pPr>
        <w:rPr>
          <w:rFonts w:ascii="Calibri" w:hAnsi="Calibri" w:cs="Calibri"/>
        </w:rPr>
      </w:pPr>
    </w:p>
    <w:p w14:paraId="6F6DD686" w14:textId="2DF15524"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w:t>
      </w:r>
      <w:r w:rsidRPr="00222BB9">
        <w:rPr>
          <w:rFonts w:ascii="Calibri" w:hAnsi="Calibri" w:cs="Calibri"/>
          <w:i/>
          <w:iCs/>
        </w:rPr>
        <w:t>Communications of the ACM</w:t>
      </w:r>
      <w:r w:rsidRPr="00C54DD5">
        <w:rPr>
          <w:rFonts w:ascii="Calibri" w:hAnsi="Calibri" w:cs="Calibri"/>
        </w:rPr>
        <w:t>. 58(9), pp.92-103.</w:t>
      </w:r>
    </w:p>
    <w:p w14:paraId="1E5C0B9D" w14:textId="4C364F17" w:rsidR="0061473C" w:rsidRDefault="0061473C" w:rsidP="00290BC4">
      <w:pPr>
        <w:rPr>
          <w:rFonts w:ascii="Calibri" w:hAnsi="Calibri" w:cs="Calibri"/>
        </w:rPr>
      </w:pPr>
    </w:p>
    <w:p w14:paraId="5A850304" w14:textId="3A6FC787" w:rsidR="0061473C" w:rsidRDefault="0061473C" w:rsidP="00290BC4">
      <w:r>
        <w:t xml:space="preserve">Davis, E., Morgenstern, L. and Ortiz, C. 2011. The Winograd Schema Challenge: Collection of Winograd Schemas. [Online]. Available from: </w:t>
      </w:r>
      <w:hyperlink r:id="rId8" w:history="1">
        <w:r w:rsidR="000D6A9F" w:rsidRPr="00E8359B">
          <w:rPr>
            <w:rStyle w:val="Hyperlink"/>
          </w:rPr>
          <w:t>https://cs.nyu.edu/faculty/davise/papers/WinogradSchemas/WSCollection.html</w:t>
        </w:r>
      </w:hyperlink>
    </w:p>
    <w:p w14:paraId="7D173AFD" w14:textId="6D464C19" w:rsidR="000D6A9F" w:rsidRDefault="000D6A9F" w:rsidP="00290BC4"/>
    <w:p w14:paraId="3CE254EA" w14:textId="32325F6C" w:rsidR="000D6A9F" w:rsidRDefault="000D6A9F" w:rsidP="00290BC4">
      <w:proofErr w:type="spellStart"/>
      <w:r>
        <w:t>Dranovsky</w:t>
      </w:r>
      <w:proofErr w:type="spellEnd"/>
      <w:r>
        <w:t xml:space="preserve">, A. 2011. How experience shapes the brain. </w:t>
      </w:r>
      <w:r w:rsidRPr="00335478">
        <w:rPr>
          <w:i/>
          <w:iCs/>
        </w:rPr>
        <w:t>Nature.</w:t>
      </w:r>
      <w:r>
        <w:t xml:space="preserve"> 474(7353), p545.</w:t>
      </w:r>
    </w:p>
    <w:p w14:paraId="5183907E" w14:textId="3F4B1EF2" w:rsidR="009D3FE1" w:rsidRDefault="009D3FE1" w:rsidP="00290BC4"/>
    <w:p w14:paraId="3FEEF657" w14:textId="079EA3CE" w:rsidR="009D3FE1" w:rsidRDefault="009D3FE1" w:rsidP="00290BC4">
      <w:proofErr w:type="spellStart"/>
      <w:r>
        <w:t>Grosan</w:t>
      </w:r>
      <w:proofErr w:type="spellEnd"/>
      <w:r>
        <w:t xml:space="preserve">, C. and Abraham, A. 2011. Knowledge Representation and Reasoning. </w:t>
      </w:r>
      <w:r w:rsidRPr="00222BB9">
        <w:rPr>
          <w:i/>
          <w:iCs/>
        </w:rPr>
        <w:t xml:space="preserve">Intelligent Systems. </w:t>
      </w:r>
      <w:r>
        <w:t>Springer, Berlin, Heidelberg.</w:t>
      </w:r>
    </w:p>
    <w:p w14:paraId="0DDE2317" w14:textId="4317D655" w:rsidR="002623BA" w:rsidRDefault="002623BA" w:rsidP="00290BC4"/>
    <w:p w14:paraId="04866056" w14:textId="21C30666" w:rsidR="002623BA" w:rsidRPr="002623BA" w:rsidRDefault="002623BA" w:rsidP="002623BA">
      <w:pPr>
        <w:pStyle w:val="EndNoteBibliography"/>
        <w:rPr>
          <w:rFonts w:asciiTheme="minorHAnsi" w:hAnsiTheme="minorHAnsi" w:cstheme="minorHAnsi"/>
          <w:sz w:val="24"/>
          <w:szCs w:val="24"/>
        </w:rPr>
      </w:pPr>
      <w:r w:rsidRPr="007F41C7">
        <w:rPr>
          <w:rFonts w:asciiTheme="minorHAnsi" w:hAnsiTheme="minorHAnsi" w:cstheme="minorHAnsi"/>
          <w:sz w:val="24"/>
          <w:szCs w:val="24"/>
        </w:rPr>
        <w:t xml:space="preserve">Gordon, A.S. 2010. </w:t>
      </w:r>
      <w:r w:rsidRPr="007F41C7">
        <w:rPr>
          <w:rFonts w:asciiTheme="minorHAnsi" w:hAnsiTheme="minorHAnsi" w:cstheme="minorHAnsi"/>
          <w:i/>
          <w:sz w:val="24"/>
          <w:szCs w:val="24"/>
        </w:rPr>
        <w:t>COPA-questions-dev.</w:t>
      </w:r>
      <w:r w:rsidRPr="007F41C7">
        <w:rPr>
          <w:rFonts w:asciiTheme="minorHAnsi" w:hAnsiTheme="minorHAnsi" w:cstheme="minorHAnsi"/>
          <w:sz w:val="24"/>
          <w:szCs w:val="24"/>
        </w:rPr>
        <w:t xml:space="preserve"> </w:t>
      </w:r>
      <w:r w:rsidRPr="003A6655">
        <w:rPr>
          <w:rFonts w:asciiTheme="minorHAnsi" w:hAnsiTheme="minorHAnsi" w:cstheme="minorHAnsi"/>
          <w:sz w:val="24"/>
          <w:szCs w:val="24"/>
        </w:rPr>
        <w:t xml:space="preserve">[Online]. Available from: </w:t>
      </w:r>
      <w:hyperlink r:id="rId9" w:history="1">
        <w:r w:rsidRPr="003A6655">
          <w:rPr>
            <w:rStyle w:val="Hyperlink"/>
            <w:rFonts w:asciiTheme="minorHAnsi" w:hAnsiTheme="minorHAnsi" w:cstheme="minorHAnsi"/>
            <w:sz w:val="24"/>
            <w:szCs w:val="24"/>
          </w:rPr>
          <w:t>https://people.ict.usc.edu/~gordon/downloads/COPA-questions-dev.txt</w:t>
        </w:r>
      </w:hyperlink>
    </w:p>
    <w:p w14:paraId="4EB6D08A" w14:textId="566B199F" w:rsidR="005D3A7A" w:rsidRDefault="005D3A7A" w:rsidP="00290BC4"/>
    <w:p w14:paraId="65C2BA48" w14:textId="67C91FEC" w:rsidR="005D3A7A" w:rsidRPr="0061473C" w:rsidRDefault="005D3A7A" w:rsidP="00290BC4">
      <w:r>
        <w:t xml:space="preserve">Isaak, N. and Michael, L. 2016. Tackling the Winograd Schema Challenge Through Machine Logical Inferences. In: </w:t>
      </w:r>
      <w:r w:rsidRPr="00222BB9">
        <w:rPr>
          <w:i/>
          <w:iCs/>
        </w:rPr>
        <w:t>Pearce, D. and Pinto, H.S. eds. Proceedings of the Eighth European Starting Ai Researcher Symposium.</w:t>
      </w:r>
      <w:r>
        <w:t xml:space="preserve"> pp.75-86.</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CDBE4C0" w:rsidR="00290BC4" w:rsidRDefault="00290BC4" w:rsidP="00290BC4">
      <w:pPr>
        <w:rPr>
          <w:rFonts w:ascii="Calibri" w:hAnsi="Calibri" w:cs="Calibri"/>
        </w:rPr>
      </w:pPr>
      <w:r w:rsidRPr="00C54DD5">
        <w:rPr>
          <w:rFonts w:ascii="Calibri" w:hAnsi="Calibri" w:cs="Calibri"/>
        </w:rPr>
        <w:lastRenderedPageBreak/>
        <w:t xml:space="preserve">Levesque, H.J., Davis, E. and Morgenstern, L. 2011. The Winograd Schema Challenge. </w:t>
      </w:r>
      <w:r w:rsidRPr="00222BB9">
        <w:rPr>
          <w:rFonts w:ascii="Calibri" w:hAnsi="Calibri" w:cs="Calibri"/>
          <w:i/>
          <w:iCs/>
        </w:rPr>
        <w:t>Proceedings of the Thirteenth International Conference on Principles of Knowledge Representation and Reasoning</w:t>
      </w:r>
      <w:r w:rsidRPr="00C54DD5">
        <w:rPr>
          <w:rFonts w:ascii="Calibri" w:hAnsi="Calibri" w:cs="Calibri"/>
        </w:rPr>
        <w:t>. 13, pp.552-561.</w:t>
      </w:r>
    </w:p>
    <w:p w14:paraId="1AE385E0" w14:textId="25939A0C" w:rsidR="00DB4763" w:rsidRDefault="00DB4763" w:rsidP="00290BC4">
      <w:pPr>
        <w:rPr>
          <w:rFonts w:ascii="Calibri" w:hAnsi="Calibri" w:cs="Calibri"/>
        </w:rPr>
      </w:pPr>
    </w:p>
    <w:p w14:paraId="2A8996A0" w14:textId="52810436" w:rsidR="00DB4763" w:rsidRPr="00DB4763" w:rsidRDefault="00DB4763" w:rsidP="00DB4763">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p>
    <w:p w14:paraId="36F8DDE7" w14:textId="0465B4D9" w:rsidR="007710DA" w:rsidRDefault="007710DA" w:rsidP="00290BC4">
      <w:pPr>
        <w:rPr>
          <w:rFonts w:ascii="Calibri" w:hAnsi="Calibri" w:cs="Calibri"/>
        </w:rPr>
      </w:pPr>
    </w:p>
    <w:p w14:paraId="4CD798B6" w14:textId="1E07A85E" w:rsidR="007710DA" w:rsidRDefault="007710DA" w:rsidP="00290BC4">
      <w:r>
        <w:t xml:space="preserve">McCune, W. 2005. Prover9 and Mace4. [Online]. Available from: </w:t>
      </w:r>
      <w:hyperlink r:id="rId10" w:history="1">
        <w:r w:rsidR="005972E0" w:rsidRPr="00E8359B">
          <w:rPr>
            <w:rStyle w:val="Hyperlink"/>
          </w:rPr>
          <w:t>http://www.cs.unm.edu/~mccune/prover9/</w:t>
        </w:r>
      </w:hyperlink>
    </w:p>
    <w:p w14:paraId="7EB7D219" w14:textId="26D2CE08" w:rsidR="005972E0" w:rsidRDefault="005972E0" w:rsidP="00290BC4"/>
    <w:p w14:paraId="0036BF02" w14:textId="74A149FE" w:rsidR="005972E0" w:rsidRPr="00222BB9" w:rsidRDefault="005972E0" w:rsidP="00290BC4">
      <w:pPr>
        <w:rPr>
          <w:i/>
          <w:iCs/>
        </w:rPr>
      </w:pPr>
      <w:r>
        <w:t xml:space="preserve">Morgenstern, L. and </w:t>
      </w:r>
      <w:proofErr w:type="gramStart"/>
      <w:r>
        <w:t>Ortiz(</w:t>
      </w:r>
      <w:proofErr w:type="gramEnd"/>
      <w:r>
        <w:t xml:space="preserve">Jr), C.L. 2015. The Winograd Schema Challenge: Evaluating Progress in </w:t>
      </w:r>
      <w:proofErr w:type="spellStart"/>
      <w:r>
        <w:t>Commonsense</w:t>
      </w:r>
      <w:proofErr w:type="spellEnd"/>
      <w:r>
        <w:t xml:space="preserve"> Reasoning. </w:t>
      </w:r>
      <w:r w:rsidRPr="00222BB9">
        <w:rPr>
          <w:i/>
          <w:iCs/>
        </w:rPr>
        <w:t>Proceedings of the Twenty-Seventh Conference on Innovative Applications of Artificial Intelligence.</w:t>
      </w:r>
    </w:p>
    <w:p w14:paraId="63C5754A" w14:textId="77777777" w:rsidR="00290BC4" w:rsidRPr="00C54DD5" w:rsidRDefault="00290BC4" w:rsidP="00290BC4">
      <w:pPr>
        <w:rPr>
          <w:rFonts w:ascii="Calibri" w:hAnsi="Calibri" w:cs="Calibri"/>
        </w:rPr>
      </w:pPr>
    </w:p>
    <w:p w14:paraId="29317CD0" w14:textId="265BAC4F"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w:t>
      </w:r>
      <w:r w:rsidRPr="00222BB9">
        <w:rPr>
          <w:rFonts w:ascii="Calibri" w:hAnsi="Calibri" w:cs="Calibri"/>
          <w:i/>
          <w:iCs/>
        </w:rPr>
        <w:t>A</w:t>
      </w:r>
      <w:r w:rsidR="00222BB9">
        <w:rPr>
          <w:rFonts w:ascii="Calibri" w:hAnsi="Calibri" w:cs="Calibri"/>
          <w:i/>
          <w:iCs/>
        </w:rPr>
        <w:t>I</w:t>
      </w:r>
      <w:r w:rsidRPr="00222BB9">
        <w:rPr>
          <w:rFonts w:ascii="Calibri" w:hAnsi="Calibri" w:cs="Calibri"/>
          <w:i/>
          <w:iCs/>
        </w:rPr>
        <w:t xml:space="preserve"> &amp; Society</w:t>
      </w:r>
      <w:r w:rsidRPr="00C54DD5">
        <w:rPr>
          <w:rFonts w:ascii="Calibri" w:hAnsi="Calibri" w:cs="Calibri"/>
        </w:rPr>
        <w:t>. 35(4), pp.819-827.</w:t>
      </w:r>
    </w:p>
    <w:p w14:paraId="5234B3FE" w14:textId="4AE9EC80" w:rsidR="00C0436D" w:rsidRDefault="00C0436D" w:rsidP="00290BC4">
      <w:pPr>
        <w:rPr>
          <w:rFonts w:ascii="Calibri" w:hAnsi="Calibri" w:cs="Calibri"/>
        </w:rPr>
      </w:pPr>
    </w:p>
    <w:p w14:paraId="0B22D833" w14:textId="55909E9B" w:rsidR="00C0436D" w:rsidRDefault="00C0436D" w:rsidP="00290BC4">
      <w:r>
        <w:t xml:space="preserve">Ng, V. 2017. Machine Learning for Entity Coreference Resolution: A Retrospective Look at Two Decades of Research. </w:t>
      </w:r>
      <w:r w:rsidRPr="009D2877">
        <w:rPr>
          <w:i/>
          <w:iCs/>
        </w:rPr>
        <w:t xml:space="preserve">AAAI'17: Proceedings of the Thirty-First AAAI Conference on Artificial Intelligence. </w:t>
      </w:r>
      <w:r>
        <w:t>pp.4877-4884.</w:t>
      </w:r>
    </w:p>
    <w:p w14:paraId="28219460" w14:textId="2B45E837" w:rsidR="00DB4763" w:rsidRDefault="00DB4763" w:rsidP="00290BC4"/>
    <w:p w14:paraId="3DE9F550" w14:textId="77777777" w:rsidR="00DB4763" w:rsidRPr="00AF37A7" w:rsidRDefault="00DB4763" w:rsidP="00DB4763">
      <w:r>
        <w:t xml:space="preserve">Rahman, A. and Ng, V. 2012. Resolving complex cases of definite pronouns: the </w:t>
      </w:r>
      <w:proofErr w:type="spellStart"/>
      <w:r>
        <w:t>winograd</w:t>
      </w:r>
      <w:proofErr w:type="spellEnd"/>
      <w:r>
        <w:t xml:space="preserve"> schema challenge. </w:t>
      </w:r>
      <w:r w:rsidRPr="00ED0874">
        <w:rPr>
          <w:i/>
          <w:iCs/>
        </w:rPr>
        <w:t>Conference: Proceedings of the 2012 Joint Conference on Empirical Methods in Natural Language Processing and Computational Natural Language Learning</w:t>
      </w:r>
      <w:r>
        <w:t>.</w:t>
      </w:r>
    </w:p>
    <w:p w14:paraId="5374C4DE" w14:textId="77777777" w:rsidR="00DB4763" w:rsidRPr="003A6655" w:rsidRDefault="00DB4763" w:rsidP="00DB4763">
      <w:pPr>
        <w:pStyle w:val="EndNoteBibliography"/>
        <w:rPr>
          <w:rFonts w:asciiTheme="minorHAnsi" w:hAnsiTheme="minorHAnsi" w:cstheme="minorHAnsi"/>
          <w:sz w:val="24"/>
          <w:szCs w:val="24"/>
        </w:rPr>
      </w:pPr>
    </w:p>
    <w:p w14:paraId="41B16B70" w14:textId="77777777" w:rsid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p>
    <w:p w14:paraId="4E738C04" w14:textId="77777777" w:rsidR="00DB4763" w:rsidRPr="003A6655" w:rsidRDefault="00DB4763" w:rsidP="00DB4763">
      <w:pPr>
        <w:pStyle w:val="EndNoteBibliography"/>
        <w:rPr>
          <w:rFonts w:asciiTheme="minorHAnsi" w:hAnsiTheme="minorHAnsi" w:cstheme="minorHAnsi"/>
          <w:i/>
          <w:sz w:val="24"/>
          <w:szCs w:val="24"/>
        </w:rPr>
      </w:pPr>
    </w:p>
    <w:p w14:paraId="33EA4871" w14:textId="682A1828"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p>
    <w:p w14:paraId="6A8E04BD" w14:textId="77777777" w:rsidR="00290BC4" w:rsidRPr="00C54DD5" w:rsidRDefault="00290BC4" w:rsidP="00290BC4">
      <w:pPr>
        <w:rPr>
          <w:rFonts w:ascii="Calibri" w:hAnsi="Calibri" w:cs="Calibri"/>
        </w:rPr>
      </w:pPr>
    </w:p>
    <w:p w14:paraId="6558A3F2" w14:textId="794E6584" w:rsidR="00290BC4" w:rsidRDefault="00290BC4" w:rsidP="00290BC4">
      <w:pPr>
        <w:rPr>
          <w:rFonts w:cstheme="minorHAnsi"/>
          <w:i/>
          <w:iCs/>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w:t>
      </w:r>
      <w:r w:rsidRPr="009D2877">
        <w:rPr>
          <w:rFonts w:cstheme="minorHAnsi"/>
          <w:i/>
          <w:iCs/>
        </w:rPr>
        <w:t xml:space="preserve">Proceedings of the Thirteenth International Symposium on </w:t>
      </w:r>
      <w:proofErr w:type="spellStart"/>
      <w:r w:rsidRPr="009D2877">
        <w:rPr>
          <w:rFonts w:cstheme="minorHAnsi"/>
          <w:i/>
          <w:iCs/>
        </w:rPr>
        <w:t>Commonsense</w:t>
      </w:r>
      <w:proofErr w:type="spellEnd"/>
      <w:r w:rsidRPr="009D2877">
        <w:rPr>
          <w:rFonts w:cstheme="minorHAnsi"/>
          <w:i/>
          <w:iCs/>
        </w:rPr>
        <w:t xml:space="preserve"> Reasoning (</w:t>
      </w:r>
      <w:proofErr w:type="spellStart"/>
      <w:r w:rsidRPr="009D2877">
        <w:rPr>
          <w:rFonts w:cstheme="minorHAnsi"/>
          <w:i/>
          <w:iCs/>
        </w:rPr>
        <w:t>Commonsense</w:t>
      </w:r>
      <w:proofErr w:type="spellEnd"/>
      <w:r w:rsidRPr="009D2877">
        <w:rPr>
          <w:rFonts w:cstheme="minorHAnsi"/>
          <w:i/>
          <w:iCs/>
        </w:rPr>
        <w:t xml:space="preserve"> 2017).</w:t>
      </w:r>
    </w:p>
    <w:p w14:paraId="4F99800C" w14:textId="4ED23961" w:rsidR="00DB4763" w:rsidRDefault="00DB4763" w:rsidP="00290BC4">
      <w:pPr>
        <w:rPr>
          <w:rFonts w:cstheme="minorHAnsi"/>
          <w:i/>
          <w:iCs/>
        </w:rPr>
      </w:pPr>
    </w:p>
    <w:p w14:paraId="71F02317" w14:textId="4CC80D40"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p>
    <w:p w14:paraId="14965A3A" w14:textId="77777777" w:rsidR="00290BC4" w:rsidRPr="003A6655" w:rsidRDefault="00290BC4" w:rsidP="00290BC4">
      <w:pPr>
        <w:rPr>
          <w:rFonts w:cstheme="minorHAnsi"/>
        </w:rPr>
      </w:pPr>
    </w:p>
    <w:p w14:paraId="67101858" w14:textId="31B128E4" w:rsidR="00290BC4" w:rsidRDefault="00290BC4" w:rsidP="00290BC4">
      <w:pPr>
        <w:rPr>
          <w:rFonts w:cstheme="minorHAnsi"/>
        </w:rPr>
      </w:pPr>
      <w:r w:rsidRPr="003A6655">
        <w:rPr>
          <w:rFonts w:cstheme="minorHAnsi"/>
        </w:rPr>
        <w:t xml:space="preserve">Sharma, A. 2019. Using Answer Set Programming for </w:t>
      </w:r>
      <w:proofErr w:type="spellStart"/>
      <w:r w:rsidRPr="003A6655">
        <w:rPr>
          <w:rFonts w:cstheme="minorHAnsi"/>
        </w:rPr>
        <w:t>Commonsense</w:t>
      </w:r>
      <w:proofErr w:type="spellEnd"/>
      <w:r w:rsidRPr="003A6655">
        <w:rPr>
          <w:rFonts w:cstheme="minorHAnsi"/>
        </w:rPr>
        <w:t xml:space="preserve"> Reasoning in the Winograd Schema Challenge. </w:t>
      </w:r>
      <w:r w:rsidRPr="009D2877">
        <w:rPr>
          <w:rFonts w:cstheme="minorHAnsi"/>
          <w:i/>
          <w:iCs/>
        </w:rPr>
        <w:t>Theory and Practice of Logic Programming.</w:t>
      </w:r>
      <w:r w:rsidRPr="003A6655">
        <w:rPr>
          <w:rFonts w:cstheme="minorHAnsi"/>
        </w:rPr>
        <w:t xml:space="preserve"> 19(5-6), pp.1021-1037.</w:t>
      </w:r>
    </w:p>
    <w:p w14:paraId="747A8818" w14:textId="77777777" w:rsidR="00DB4763" w:rsidRDefault="00DB4763" w:rsidP="00290BC4">
      <w:pPr>
        <w:rPr>
          <w:rFonts w:cstheme="minorHAnsi"/>
        </w:rPr>
      </w:pPr>
    </w:p>
    <w:p w14:paraId="6DBB7D6F" w14:textId="77777777" w:rsidR="00DB4763" w:rsidRPr="00AF37A7" w:rsidRDefault="00DB4763" w:rsidP="00DB4763">
      <w:r>
        <w:t xml:space="preserve">Turing, A.M. 1950. Computing Machinery and Intelligence. </w:t>
      </w:r>
      <w:r w:rsidRPr="00DB4763">
        <w:rPr>
          <w:i/>
          <w:iCs/>
        </w:rPr>
        <w:t>Mind: A quarterly review of psychology and philosophy</w:t>
      </w:r>
      <w:r>
        <w:t>. 59(236), pp.433-460.</w:t>
      </w:r>
    </w:p>
    <w:p w14:paraId="6A76E1A6" w14:textId="77777777" w:rsidR="00DB4763" w:rsidRPr="003A6655" w:rsidRDefault="00DB4763" w:rsidP="00290BC4">
      <w:pPr>
        <w:rPr>
          <w:rFonts w:cstheme="minorHAnsi"/>
        </w:rPr>
      </w:pP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 xml:space="preserve">Winograd, T. 1972. Understanding natural language. </w:t>
      </w:r>
      <w:r w:rsidRPr="009D2877">
        <w:rPr>
          <w:rFonts w:cstheme="minorHAnsi"/>
          <w:i/>
          <w:iCs/>
        </w:rPr>
        <w:t>Cognitive Psychology.</w:t>
      </w:r>
      <w:r w:rsidRPr="003A6655">
        <w:rPr>
          <w:rFonts w:cstheme="minorHAnsi"/>
        </w:rPr>
        <w:t xml:space="preserve"> 3(1), pp.1-191.</w:t>
      </w:r>
    </w:p>
    <w:p w14:paraId="5C1890BD" w14:textId="35759676" w:rsidR="00A70280" w:rsidRPr="003A6655" w:rsidRDefault="00A70280" w:rsidP="00290BC4">
      <w:pPr>
        <w:rPr>
          <w:rFonts w:cstheme="minorHAnsi"/>
        </w:rPr>
      </w:pPr>
    </w:p>
    <w:p w14:paraId="4ED24130" w14:textId="3127DFB4"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2" w:name="_ENREF_8"/>
      <w:r w:rsidR="003A6655"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003A6655" w:rsidRPr="003A6655">
        <w:rPr>
          <w:rFonts w:asciiTheme="minorHAnsi" w:hAnsiTheme="minorHAnsi" w:cstheme="minorHAnsi"/>
          <w:i/>
          <w:sz w:val="24"/>
          <w:szCs w:val="24"/>
        </w:rPr>
        <w:t xml:space="preserve"> may, Miyazaki, Japan</w:t>
      </w:r>
      <w:r w:rsidR="003A6655" w:rsidRPr="003A6655">
        <w:rPr>
          <w:rFonts w:asciiTheme="minorHAnsi" w:hAnsiTheme="minorHAnsi" w:cstheme="minorHAnsi"/>
          <w:sz w:val="24"/>
          <w:szCs w:val="24"/>
        </w:rPr>
        <w:t>. European Language Resources Association (ELRA).</w:t>
      </w:r>
      <w:bookmarkEnd w:id="2"/>
    </w:p>
    <w:p w14:paraId="2C0A7B0F" w14:textId="291FAC31" w:rsidR="00AF37A7" w:rsidRDefault="00AF37A7" w:rsidP="003A6655">
      <w:pPr>
        <w:pStyle w:val="EndNoteBibliography"/>
        <w:rPr>
          <w:rFonts w:asciiTheme="minorHAnsi" w:hAnsiTheme="minorHAnsi" w:cstheme="minorHAnsi"/>
          <w:sz w:val="24"/>
          <w:szCs w:val="24"/>
        </w:rPr>
      </w:pPr>
    </w:p>
    <w:p w14:paraId="65811DD0" w14:textId="77777777" w:rsidR="00AF37A7" w:rsidRPr="00290BC4" w:rsidRDefault="00AF37A7" w:rsidP="00AF37A7">
      <w:r>
        <w:t xml:space="preserve">Zadeh, L. 1965. Fuzzy Sets. </w:t>
      </w:r>
      <w:r w:rsidRPr="00593506">
        <w:rPr>
          <w:i/>
          <w:iCs/>
        </w:rPr>
        <w:t>Information and Control.</w:t>
      </w:r>
      <w:r>
        <w:t xml:space="preserve"> 8(3), pp.338-353.</w:t>
      </w:r>
    </w:p>
    <w:p w14:paraId="3F1DA10D" w14:textId="77777777" w:rsidR="00AF37A7" w:rsidRPr="003A6655" w:rsidRDefault="00AF37A7" w:rsidP="003A6655">
      <w:pPr>
        <w:pStyle w:val="EndNoteBibliography"/>
        <w:rPr>
          <w:rFonts w:asciiTheme="minorHAnsi" w:hAnsiTheme="minorHAnsi" w:cstheme="minorHAnsi"/>
          <w:sz w:val="24"/>
          <w:szCs w:val="24"/>
        </w:rPr>
      </w:pPr>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3"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3"/>
    </w:p>
    <w:p w14:paraId="52AC0C7A" w14:textId="2BFCA771" w:rsidR="00321478" w:rsidRPr="00290BC4" w:rsidRDefault="00A70280" w:rsidP="0064487E">
      <w:r w:rsidRPr="003A6655">
        <w:rPr>
          <w:rFonts w:cstheme="minorHAnsi"/>
        </w:rPr>
        <w:fldChar w:fldCharType="end"/>
      </w:r>
    </w:p>
    <w:sectPr w:rsidR="00321478" w:rsidRPr="00290BC4" w:rsidSect="00F85562">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A6AE3" w14:textId="77777777" w:rsidR="00E966E7" w:rsidRDefault="00E966E7" w:rsidP="00A95E5B">
      <w:r>
        <w:separator/>
      </w:r>
    </w:p>
  </w:endnote>
  <w:endnote w:type="continuationSeparator" w:id="0">
    <w:p w14:paraId="282EC38C" w14:textId="77777777" w:rsidR="00E966E7" w:rsidRDefault="00E966E7"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EF82E" w14:textId="77777777" w:rsidR="00E966E7" w:rsidRDefault="00E966E7" w:rsidP="00A95E5B">
      <w:r>
        <w:separator/>
      </w:r>
    </w:p>
  </w:footnote>
  <w:footnote w:type="continuationSeparator" w:id="0">
    <w:p w14:paraId="35C94016" w14:textId="77777777" w:rsidR="00E966E7" w:rsidRDefault="00E966E7"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1F51"/>
    <w:rsid w:val="00032672"/>
    <w:rsid w:val="000442A3"/>
    <w:rsid w:val="00045B5E"/>
    <w:rsid w:val="000460F3"/>
    <w:rsid w:val="00086296"/>
    <w:rsid w:val="00092092"/>
    <w:rsid w:val="000D6A9F"/>
    <w:rsid w:val="000E2677"/>
    <w:rsid w:val="000E44CD"/>
    <w:rsid w:val="000F1696"/>
    <w:rsid w:val="000F282A"/>
    <w:rsid w:val="00113D12"/>
    <w:rsid w:val="00117AEF"/>
    <w:rsid w:val="00124C06"/>
    <w:rsid w:val="00133905"/>
    <w:rsid w:val="00167DBA"/>
    <w:rsid w:val="001A21F8"/>
    <w:rsid w:val="001C4BA0"/>
    <w:rsid w:val="002004C9"/>
    <w:rsid w:val="00205EB3"/>
    <w:rsid w:val="00222BB9"/>
    <w:rsid w:val="002623BA"/>
    <w:rsid w:val="00262D87"/>
    <w:rsid w:val="002737E3"/>
    <w:rsid w:val="00282586"/>
    <w:rsid w:val="002908BD"/>
    <w:rsid w:val="00290BC4"/>
    <w:rsid w:val="00295BAA"/>
    <w:rsid w:val="002C177D"/>
    <w:rsid w:val="002C3431"/>
    <w:rsid w:val="002F4C29"/>
    <w:rsid w:val="002F7FB8"/>
    <w:rsid w:val="00317973"/>
    <w:rsid w:val="00321478"/>
    <w:rsid w:val="00326AAF"/>
    <w:rsid w:val="00335478"/>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93198"/>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93506"/>
    <w:rsid w:val="005972E0"/>
    <w:rsid w:val="005A1D8B"/>
    <w:rsid w:val="005A31D1"/>
    <w:rsid w:val="005B2113"/>
    <w:rsid w:val="005B29F3"/>
    <w:rsid w:val="005B56D0"/>
    <w:rsid w:val="005C19AE"/>
    <w:rsid w:val="005D3A7A"/>
    <w:rsid w:val="005D79B0"/>
    <w:rsid w:val="00610122"/>
    <w:rsid w:val="0061132C"/>
    <w:rsid w:val="0061473C"/>
    <w:rsid w:val="00627FDB"/>
    <w:rsid w:val="006347B1"/>
    <w:rsid w:val="00635958"/>
    <w:rsid w:val="0063754D"/>
    <w:rsid w:val="00637720"/>
    <w:rsid w:val="00642D6F"/>
    <w:rsid w:val="0064487E"/>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DA"/>
    <w:rsid w:val="007710ED"/>
    <w:rsid w:val="00774C53"/>
    <w:rsid w:val="007C10FC"/>
    <w:rsid w:val="007F41C7"/>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D2877"/>
    <w:rsid w:val="009D3FE1"/>
    <w:rsid w:val="009E0B4E"/>
    <w:rsid w:val="009F2345"/>
    <w:rsid w:val="00A0767C"/>
    <w:rsid w:val="00A21A81"/>
    <w:rsid w:val="00A37446"/>
    <w:rsid w:val="00A45DFF"/>
    <w:rsid w:val="00A60707"/>
    <w:rsid w:val="00A6577F"/>
    <w:rsid w:val="00A70280"/>
    <w:rsid w:val="00A740A7"/>
    <w:rsid w:val="00A831B8"/>
    <w:rsid w:val="00A85051"/>
    <w:rsid w:val="00A95E5B"/>
    <w:rsid w:val="00A97EA0"/>
    <w:rsid w:val="00AA7CAE"/>
    <w:rsid w:val="00AB402A"/>
    <w:rsid w:val="00AB7128"/>
    <w:rsid w:val="00AD2046"/>
    <w:rsid w:val="00AE1536"/>
    <w:rsid w:val="00AE2BD9"/>
    <w:rsid w:val="00AF37A7"/>
    <w:rsid w:val="00B431C3"/>
    <w:rsid w:val="00B51421"/>
    <w:rsid w:val="00B6099C"/>
    <w:rsid w:val="00B76B73"/>
    <w:rsid w:val="00B85775"/>
    <w:rsid w:val="00B912D1"/>
    <w:rsid w:val="00B93644"/>
    <w:rsid w:val="00BB6C23"/>
    <w:rsid w:val="00C00726"/>
    <w:rsid w:val="00C009B8"/>
    <w:rsid w:val="00C01575"/>
    <w:rsid w:val="00C0436D"/>
    <w:rsid w:val="00C16400"/>
    <w:rsid w:val="00C3147C"/>
    <w:rsid w:val="00C336C7"/>
    <w:rsid w:val="00C37A14"/>
    <w:rsid w:val="00C6085B"/>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B4763"/>
    <w:rsid w:val="00DC4070"/>
    <w:rsid w:val="00DD6E47"/>
    <w:rsid w:val="00DE2F3F"/>
    <w:rsid w:val="00E03407"/>
    <w:rsid w:val="00E15FF8"/>
    <w:rsid w:val="00E32871"/>
    <w:rsid w:val="00E441E4"/>
    <w:rsid w:val="00E4485D"/>
    <w:rsid w:val="00E5440C"/>
    <w:rsid w:val="00E56801"/>
    <w:rsid w:val="00E8173B"/>
    <w:rsid w:val="00E94FE9"/>
    <w:rsid w:val="00E966E7"/>
    <w:rsid w:val="00EA040A"/>
    <w:rsid w:val="00EA0A8A"/>
    <w:rsid w:val="00EA2544"/>
    <w:rsid w:val="00EA2620"/>
    <w:rsid w:val="00EA65E2"/>
    <w:rsid w:val="00EB26FF"/>
    <w:rsid w:val="00EB7045"/>
    <w:rsid w:val="00ED0874"/>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unm.edu/~mccune/prover9/" TargetMode="External"/><Relationship Id="rId4" Type="http://schemas.openxmlformats.org/officeDocument/2006/relationships/settings" Target="settings.xml"/><Relationship Id="rId9" Type="http://schemas.openxmlformats.org/officeDocument/2006/relationships/hyperlink" Target="https://people.ict.usc.edu/~gordon/downloads/COPA-questions-dev.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10036</Words>
  <Characters>57211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136</cp:revision>
  <dcterms:created xsi:type="dcterms:W3CDTF">2020-12-04T19:11:00Z</dcterms:created>
  <dcterms:modified xsi:type="dcterms:W3CDTF">2020-12-05T21:46:00Z</dcterms:modified>
</cp:coreProperties>
</file>