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E26C34">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E26C34">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77777777"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77777777" w:rsidR="00EA0A8A" w:rsidRDefault="00EA0A8A" w:rsidP="00EA0A8A">
      <w:pPr>
        <w:rPr>
          <w:rFonts w:ascii="Calibri" w:hAnsi="Calibri" w:cs="Calibri"/>
        </w:rPr>
      </w:pPr>
      <w:r>
        <w:rPr>
          <w:rFonts w:ascii="Calibri" w:hAnsi="Calibri" w:cs="Calibri"/>
        </w:rPr>
        <w:t>Using the first-order logic approach with the facts and inference rules (using example 1 above to illustrate),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37387C10" w14:textId="77777777" w:rsidR="00EA0A8A" w:rsidRDefault="00EA0A8A" w:rsidP="00EA0A8A">
      <w:pPr>
        <w:rPr>
          <w:rFonts w:ascii="Calibri" w:hAnsi="Calibri" w:cs="Calibri"/>
        </w:rPr>
      </w:pPr>
    </w:p>
    <w:p w14:paraId="0CFC38A0" w14:textId="77777777" w:rsidR="00EA0A8A" w:rsidRDefault="00EA0A8A" w:rsidP="00EA0A8A">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w:t>
      </w:r>
      <w:r w:rsidRPr="00EF14F4">
        <w:lastRenderedPageBreak/>
        <w:t xml:space="preserve">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C473229"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(Isaak and Michael, 2020)</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2765CA37"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16F785D8"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has a very computationally expensive training process </w:t>
      </w:r>
      <w:r w:rsidR="006665DD">
        <w:rPr>
          <w:rFonts w:ascii="Calibri" w:hAnsi="Calibri" w:cs="Calibri"/>
        </w:rPr>
        <w:t>(Ng V 2017)</w:t>
      </w:r>
      <w:r w:rsidR="00AE2BD9">
        <w:rPr>
          <w:rFonts w:ascii="Calibri" w:hAnsi="Calibri" w:cs="Calibri"/>
        </w:rPr>
        <w:t xml:space="preserve">. Perhaps a combination of the two could be even more successful [5]. </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lastRenderedPageBreak/>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7777777"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E9EF3" w14:textId="77777777" w:rsidR="00E26C34" w:rsidRDefault="00E26C34" w:rsidP="00A95E5B">
      <w:r>
        <w:separator/>
      </w:r>
    </w:p>
  </w:endnote>
  <w:endnote w:type="continuationSeparator" w:id="0">
    <w:p w14:paraId="7DEFD9BD" w14:textId="77777777" w:rsidR="00E26C34" w:rsidRDefault="00E26C34"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20A9E" w14:textId="77777777" w:rsidR="00E26C34" w:rsidRDefault="00E26C34" w:rsidP="00A95E5B">
      <w:r>
        <w:separator/>
      </w:r>
    </w:p>
  </w:footnote>
  <w:footnote w:type="continuationSeparator" w:id="0">
    <w:p w14:paraId="4374BDDD" w14:textId="77777777" w:rsidR="00E26C34" w:rsidRDefault="00E26C34"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24C06"/>
    <w:rsid w:val="00133905"/>
    <w:rsid w:val="00167DBA"/>
    <w:rsid w:val="001A21F8"/>
    <w:rsid w:val="001C4BA0"/>
    <w:rsid w:val="002004C9"/>
    <w:rsid w:val="00262D87"/>
    <w:rsid w:val="002737E3"/>
    <w:rsid w:val="00290BC4"/>
    <w:rsid w:val="00295BAA"/>
    <w:rsid w:val="002F7FB8"/>
    <w:rsid w:val="00356F1C"/>
    <w:rsid w:val="003B410B"/>
    <w:rsid w:val="003D5B63"/>
    <w:rsid w:val="00442421"/>
    <w:rsid w:val="0048280E"/>
    <w:rsid w:val="004918DB"/>
    <w:rsid w:val="004A40F8"/>
    <w:rsid w:val="004B154F"/>
    <w:rsid w:val="004C1018"/>
    <w:rsid w:val="004E6DA8"/>
    <w:rsid w:val="005251A0"/>
    <w:rsid w:val="0059063B"/>
    <w:rsid w:val="005A1D8B"/>
    <w:rsid w:val="00610122"/>
    <w:rsid w:val="0063754D"/>
    <w:rsid w:val="00637720"/>
    <w:rsid w:val="00642D6F"/>
    <w:rsid w:val="006665DD"/>
    <w:rsid w:val="006E5CA2"/>
    <w:rsid w:val="00703915"/>
    <w:rsid w:val="0070737D"/>
    <w:rsid w:val="00763313"/>
    <w:rsid w:val="00770D83"/>
    <w:rsid w:val="007710ED"/>
    <w:rsid w:val="00774C53"/>
    <w:rsid w:val="008352FA"/>
    <w:rsid w:val="0086172C"/>
    <w:rsid w:val="00877896"/>
    <w:rsid w:val="008A4B5A"/>
    <w:rsid w:val="008C7FA6"/>
    <w:rsid w:val="008D48CB"/>
    <w:rsid w:val="008F1529"/>
    <w:rsid w:val="009F2345"/>
    <w:rsid w:val="00A37446"/>
    <w:rsid w:val="00A70280"/>
    <w:rsid w:val="00A740A7"/>
    <w:rsid w:val="00A85051"/>
    <w:rsid w:val="00A95E5B"/>
    <w:rsid w:val="00AB7128"/>
    <w:rsid w:val="00AE2BD9"/>
    <w:rsid w:val="00B431C3"/>
    <w:rsid w:val="00B51421"/>
    <w:rsid w:val="00B85775"/>
    <w:rsid w:val="00C00726"/>
    <w:rsid w:val="00C336C7"/>
    <w:rsid w:val="00C37A14"/>
    <w:rsid w:val="00C75FC8"/>
    <w:rsid w:val="00C80C78"/>
    <w:rsid w:val="00C91150"/>
    <w:rsid w:val="00CC6845"/>
    <w:rsid w:val="00CE5320"/>
    <w:rsid w:val="00CE6523"/>
    <w:rsid w:val="00CF65DE"/>
    <w:rsid w:val="00D0255B"/>
    <w:rsid w:val="00D404AA"/>
    <w:rsid w:val="00D55E45"/>
    <w:rsid w:val="00D80A3E"/>
    <w:rsid w:val="00DB3826"/>
    <w:rsid w:val="00DC4070"/>
    <w:rsid w:val="00E26C34"/>
    <w:rsid w:val="00E32871"/>
    <w:rsid w:val="00E441E4"/>
    <w:rsid w:val="00E56801"/>
    <w:rsid w:val="00E94FE9"/>
    <w:rsid w:val="00EA0A8A"/>
    <w:rsid w:val="00EA2544"/>
    <w:rsid w:val="00EA2620"/>
    <w:rsid w:val="00EB26FF"/>
    <w:rsid w:val="00EF14F4"/>
    <w:rsid w:val="00F140AB"/>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18</cp:revision>
  <dcterms:created xsi:type="dcterms:W3CDTF">2020-12-04T19:11:00Z</dcterms:created>
  <dcterms:modified xsi:type="dcterms:W3CDTF">2020-12-04T19:36:00Z</dcterms:modified>
</cp:coreProperties>
</file>