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A45DFF">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A45DFF">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Neufeld E. and Finnestad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Neufeld E. and Finnestad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Neufeld E. and Finnestad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Richard-Bollans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 xml:space="preserve">and </w:t>
      </w:r>
      <w:r w:rsidR="003B1212">
        <w:rPr>
          <w:rFonts w:ascii="Calibri" w:hAnsi="Calibri" w:cs="Calibri"/>
        </w:rPr>
        <w:t>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Richard-Bollans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Richard-Bollans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r w:rsidR="00B76B73" w:rsidRPr="00B76B73">
        <w:t>)</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r w:rsidR="00326AAF" w:rsidRPr="00326AAF">
        <w:rPr>
          <w:rFonts w:ascii="Calibri" w:hAnsi="Calibri" w:cs="Calibri"/>
        </w:rPr>
        <w:t>Grosan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r>
        <w:t>IsColour(Lemon,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IsShape(Lemon,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r>
        <w:rPr>
          <w:rFonts w:ascii="AppleSystemUIFont" w:hAnsi="AppleSystemUIFont" w:cs="AppleSystemUIFont"/>
        </w:rPr>
        <w:t>IsLength(Lemon,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r>
        <w:rPr>
          <w:rFonts w:ascii="AppleSystemUIFont" w:hAnsi="AppleSystemUIFont" w:cs="AppleSystemUIFont"/>
        </w:rPr>
        <w:t>IsDepth(Lemon,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r>
        <w:rPr>
          <w:rFonts w:ascii="AppleSystemUIFont" w:hAnsi="AppleSystemUIFont" w:cs="AppleSystemUIFont"/>
        </w:rPr>
        <w:t>IsWidth(Lemon,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r w:rsidRPr="00A00D76">
        <w:rPr>
          <w:rFonts w:ascii="AppleSystemUIFont" w:hAnsi="AppleSystemUIFont" w:cs="AppleSystemUIFont"/>
        </w:rPr>
        <w:t>IsPlural(Lemons,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r w:rsidRPr="00F70FB0">
        <w:rPr>
          <w:rFonts w:ascii="AppleSystemUIFont" w:hAnsi="AppleSystemUIFont" w:cs="AppleSystemUIFont"/>
        </w:rPr>
        <w:t xml:space="preserve">First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r>
        <w:rPr>
          <w:rFonts w:ascii="AppleSystemUIFont" w:hAnsi="AppleSystemUIFont" w:cs="AppleSystemUIFont"/>
        </w:rPr>
        <w:t>Paint(Orchard)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r w:rsidRPr="003C056E">
        <w:rPr>
          <w:rFonts w:ascii="AppleSystemUIFont" w:hAnsi="AppleSystemUIFont" w:cs="AppleSystemUIFont"/>
        </w:rPr>
        <w:t>Paint(Orchard) -&gt; ( Paint(Lemons) &amp; Paint(Lemon_trees)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 See(x) -&gt; exists y LooksLike(x,y)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IsPlantType(Lemon_tree,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all y ( IsPlantType(x, y) -&gt; LooksLike(x,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Then we add transitivity and reflexivity for LooksLike:</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all y all z ( ( LooksLike(x,y) &amp; LooksLike(y,z) ) -&gt; LooksLike(x,z)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all x all y ( LooksLike(x,y) &lt;-&gt; LooksLike(y,x)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l exists w exists d ( IsLength(x,l) &amp; IsLength(y,l) &amp; IsWidth(x,w) &amp; IsWidth(y, w) &amp; IsDepth(x,d) &amp; IsDepth(x,d) ) ) -&gt; exists v ( IsSize(x, v) &amp; IsSize(y,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all u all v (  ( LooksLike(x, u) &amp; IsPlural(y, x) &amp; IsPlural(v, u) ) -&gt; LooksLike(y,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all x all w all y ( ( IsShape(x, w) &amp; -(y=w) ) -&gt; ( -IsShape(x,y)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all x all v all y ( ( IsSize(x, v) &amp; -(y=v) ) -&gt; ( -IsSize(x,y)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z exists w exists v (IsShape(x,z) &amp; IsShape(y,z) &amp; IsColour(x,v) &amp; IsColour(y, v) &amp; IsSize(x, w) &amp; IsSize(y, w) ) ) &lt;-&gt; LooksLike(x,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48</w:t>
      </w:r>
      <w:r w:rsidR="00C3147C">
        <w:rPr>
          <w:b/>
          <w:bCs/>
        </w:rPr>
        <w:t xml:space="preserve">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77777777" w:rsidR="00092092" w:rsidRPr="00117AEF" w:rsidRDefault="00092092" w:rsidP="00117AEF">
      <w:r w:rsidRPr="00117AEF">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R(x,y) represents ‘x runs from y’ and C(x,y)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lastRenderedPageBreak/>
        <w:t>(T(Ethan) &amp; T(Luke) &amp; C(Ethan,Luke)) -&gt; IT(Ethan)</w:t>
      </w:r>
    </w:p>
    <w:p w14:paraId="0731D392" w14:textId="77777777" w:rsidR="00092092" w:rsidRDefault="00092092" w:rsidP="00092092">
      <w:pPr>
        <w:pStyle w:val="ListParagraph"/>
        <w:jc w:val="center"/>
        <w:rPr>
          <w:sz w:val="24"/>
          <w:szCs w:val="24"/>
        </w:rPr>
      </w:pPr>
      <w:r>
        <w:rPr>
          <w:sz w:val="24"/>
          <w:szCs w:val="24"/>
        </w:rPr>
        <w:t>(T(Ethan) &amp; T(Luke) &amp; R(Ethan,Luke))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We will now represent some of the facts that are required to know the answer in logical formula. In order to do this we need to define one more relation, Tou(x,y)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Pr="00117AEF" w:rsidRDefault="00092092" w:rsidP="00117AEF">
      <w:r w:rsidRPr="00117AEF">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C(x,y)) -&gt; Tou(x,y))</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R(x,y)) -&gt; Tou(y,x))</w:t>
      </w:r>
    </w:p>
    <w:p w14:paraId="1D1CBE4C" w14:textId="77777777" w:rsidR="00092092" w:rsidRPr="00290BC4" w:rsidRDefault="00092092" w:rsidP="00092092">
      <w:pPr>
        <w:pStyle w:val="ListParagraph"/>
        <w:rPr>
          <w:sz w:val="24"/>
          <w:szCs w:val="24"/>
          <w:lang w:val="fr-FR"/>
        </w:rPr>
      </w:pPr>
    </w:p>
    <w:p w14:paraId="72BD32BD" w14:textId="77777777" w:rsidR="00092092" w:rsidRPr="00117AEF" w:rsidRDefault="00092092" w:rsidP="00117AEF">
      <w:r w:rsidRPr="00117AEF">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Tou(x,y))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commonsense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commonsense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In order to test for commonsense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r w:rsidR="00326AAF" w:rsidRPr="00326AAF">
        <w:rPr>
          <w:rFonts w:ascii="Calibri" w:hAnsi="Calibri" w:cs="Calibri"/>
        </w:rPr>
        <w:t>Grosan</w:t>
      </w:r>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Richard-Bollans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r w:rsidR="0061132C" w:rsidRPr="00326AAF">
        <w:rPr>
          <w:rFonts w:ascii="Calibri" w:hAnsi="Calibri" w:cs="Calibri"/>
        </w:rPr>
        <w:t>Grosan C. and Abraham A. 2011</w:t>
      </w:r>
      <w:r w:rsidR="0061132C">
        <w:rPr>
          <w:rFonts w:ascii="Calibri" w:hAnsi="Calibri" w:cs="Calibri"/>
        </w:rPr>
        <w:t>)</w:t>
      </w:r>
      <w:r w:rsidR="0061132C">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r>
        <w:rPr>
          <w:rFonts w:ascii="Calibri" w:hAnsi="Calibri" w:cs="Calibri"/>
        </w:rPr>
        <w:t>Besnard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(Richard-Bollans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lastRenderedPageBreak/>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is “it” and run from any other players. Therefore, a possible answer to the original question is that neither Ethan or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53AA59B"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w:t>
      </w:r>
      <w:r w:rsidR="00BB6C23" w:rsidRPr="00C54DD5">
        <w:rPr>
          <w:rFonts w:ascii="Calibri" w:hAnsi="Calibri" w:cs="Calibri"/>
        </w:rPr>
        <w:t>Isaak N. and Michael L. 2020</w:t>
      </w:r>
      <w:r w:rsidRPr="00EF14F4">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381BC796"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to human thought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(Dranovsky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0336B10C"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0093471B">
        <w:rPr>
          <w:noProof/>
        </w:rPr>
        <w:t>, Chen Y. et al 2019</w:t>
      </w:r>
      <w:r w:rsidRPr="00EF14F4">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Richard-Bollans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Richard-Bollans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Lierler, Y., Lifschitz,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Davis, E. and Marcus, G. 2015. Commonsense reasoning and commonsense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lastRenderedPageBreak/>
        <w:t>Isaak, N. and Michael, L. 2020. Winventor: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Neufeld, E. and Finnestad, S. 2020. In defense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Richard-Bollans, A., Alvarez, L.G. and Cohn, A.G. 2018. The Role of Pragmatics in Solving the Winograd Schema Challenge. Proceedings of the Thirteenth International Symposium on Commonsense Reasoning (Commonsense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Sharma, A. 2019. Using Answer Set Programming for Commonsense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C2958" w14:textId="77777777" w:rsidR="00A45DFF" w:rsidRDefault="00A45DFF" w:rsidP="00A95E5B">
      <w:r>
        <w:separator/>
      </w:r>
    </w:p>
  </w:endnote>
  <w:endnote w:type="continuationSeparator" w:id="0">
    <w:p w14:paraId="425BEF96" w14:textId="77777777" w:rsidR="00A45DFF" w:rsidRDefault="00A45DFF"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11E96" w14:textId="77777777" w:rsidR="00A45DFF" w:rsidRDefault="00A45DFF" w:rsidP="00A95E5B">
      <w:r>
        <w:separator/>
      </w:r>
    </w:p>
  </w:footnote>
  <w:footnote w:type="continuationSeparator" w:id="0">
    <w:p w14:paraId="16A3A09C" w14:textId="77777777" w:rsidR="00A45DFF" w:rsidRDefault="00A45DFF"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14A9B"/>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62D87"/>
    <w:rsid w:val="002737E3"/>
    <w:rsid w:val="00282586"/>
    <w:rsid w:val="002908BD"/>
    <w:rsid w:val="00290BC4"/>
    <w:rsid w:val="00295BAA"/>
    <w:rsid w:val="002F4C29"/>
    <w:rsid w:val="002F7FB8"/>
    <w:rsid w:val="00326AAF"/>
    <w:rsid w:val="00356F1C"/>
    <w:rsid w:val="00381C71"/>
    <w:rsid w:val="003B1212"/>
    <w:rsid w:val="003B410B"/>
    <w:rsid w:val="003D5B63"/>
    <w:rsid w:val="003D7AF7"/>
    <w:rsid w:val="003E2685"/>
    <w:rsid w:val="00442421"/>
    <w:rsid w:val="00443F28"/>
    <w:rsid w:val="00444695"/>
    <w:rsid w:val="0048280E"/>
    <w:rsid w:val="004918DB"/>
    <w:rsid w:val="004A40F8"/>
    <w:rsid w:val="004B154F"/>
    <w:rsid w:val="004B3EBC"/>
    <w:rsid w:val="004C1018"/>
    <w:rsid w:val="004C1803"/>
    <w:rsid w:val="004E6DA8"/>
    <w:rsid w:val="00506D04"/>
    <w:rsid w:val="00511B2C"/>
    <w:rsid w:val="005212A7"/>
    <w:rsid w:val="005251A0"/>
    <w:rsid w:val="00556618"/>
    <w:rsid w:val="00562AE5"/>
    <w:rsid w:val="00584A07"/>
    <w:rsid w:val="0059063B"/>
    <w:rsid w:val="005A1D8B"/>
    <w:rsid w:val="005A31D1"/>
    <w:rsid w:val="005B2113"/>
    <w:rsid w:val="005B29F3"/>
    <w:rsid w:val="005D79B0"/>
    <w:rsid w:val="00610122"/>
    <w:rsid w:val="0061132C"/>
    <w:rsid w:val="006347B1"/>
    <w:rsid w:val="00635958"/>
    <w:rsid w:val="0063754D"/>
    <w:rsid w:val="00637720"/>
    <w:rsid w:val="00642D6F"/>
    <w:rsid w:val="006665DD"/>
    <w:rsid w:val="00673610"/>
    <w:rsid w:val="006A6E31"/>
    <w:rsid w:val="006A7713"/>
    <w:rsid w:val="006D5F32"/>
    <w:rsid w:val="006E45A7"/>
    <w:rsid w:val="006E5CA2"/>
    <w:rsid w:val="00701C13"/>
    <w:rsid w:val="00703915"/>
    <w:rsid w:val="0070737D"/>
    <w:rsid w:val="00712B06"/>
    <w:rsid w:val="007229C0"/>
    <w:rsid w:val="00763313"/>
    <w:rsid w:val="00770D83"/>
    <w:rsid w:val="007710ED"/>
    <w:rsid w:val="00774C53"/>
    <w:rsid w:val="008111CA"/>
    <w:rsid w:val="008352FA"/>
    <w:rsid w:val="0086172C"/>
    <w:rsid w:val="0086192D"/>
    <w:rsid w:val="00877896"/>
    <w:rsid w:val="008A4B5A"/>
    <w:rsid w:val="008B68FE"/>
    <w:rsid w:val="008C7FA6"/>
    <w:rsid w:val="008D48CB"/>
    <w:rsid w:val="008F1529"/>
    <w:rsid w:val="00904346"/>
    <w:rsid w:val="0093471B"/>
    <w:rsid w:val="009367AC"/>
    <w:rsid w:val="009549AF"/>
    <w:rsid w:val="0099335D"/>
    <w:rsid w:val="009E0B4E"/>
    <w:rsid w:val="009F2345"/>
    <w:rsid w:val="00A0767C"/>
    <w:rsid w:val="00A21A81"/>
    <w:rsid w:val="00A37446"/>
    <w:rsid w:val="00A45DFF"/>
    <w:rsid w:val="00A70280"/>
    <w:rsid w:val="00A740A7"/>
    <w:rsid w:val="00A831B8"/>
    <w:rsid w:val="00A85051"/>
    <w:rsid w:val="00A95E5B"/>
    <w:rsid w:val="00AA7CAE"/>
    <w:rsid w:val="00AB402A"/>
    <w:rsid w:val="00AB7128"/>
    <w:rsid w:val="00AE2BD9"/>
    <w:rsid w:val="00B431C3"/>
    <w:rsid w:val="00B51421"/>
    <w:rsid w:val="00B6099C"/>
    <w:rsid w:val="00B76B73"/>
    <w:rsid w:val="00B85775"/>
    <w:rsid w:val="00BB6C23"/>
    <w:rsid w:val="00C00726"/>
    <w:rsid w:val="00C009B8"/>
    <w:rsid w:val="00C01575"/>
    <w:rsid w:val="00C16400"/>
    <w:rsid w:val="00C3147C"/>
    <w:rsid w:val="00C336C7"/>
    <w:rsid w:val="00C37A14"/>
    <w:rsid w:val="00C75FC8"/>
    <w:rsid w:val="00C80C78"/>
    <w:rsid w:val="00C91150"/>
    <w:rsid w:val="00CB0495"/>
    <w:rsid w:val="00CC377E"/>
    <w:rsid w:val="00CC6845"/>
    <w:rsid w:val="00CD42B7"/>
    <w:rsid w:val="00CE5320"/>
    <w:rsid w:val="00CE6523"/>
    <w:rsid w:val="00CF08E6"/>
    <w:rsid w:val="00CF65DE"/>
    <w:rsid w:val="00D0255B"/>
    <w:rsid w:val="00D036D3"/>
    <w:rsid w:val="00D404AA"/>
    <w:rsid w:val="00D55E45"/>
    <w:rsid w:val="00D80A3E"/>
    <w:rsid w:val="00DA4896"/>
    <w:rsid w:val="00DB22A8"/>
    <w:rsid w:val="00DB3826"/>
    <w:rsid w:val="00DC4070"/>
    <w:rsid w:val="00DD6E47"/>
    <w:rsid w:val="00E15FF8"/>
    <w:rsid w:val="00E32871"/>
    <w:rsid w:val="00E441E4"/>
    <w:rsid w:val="00E56801"/>
    <w:rsid w:val="00E94FE9"/>
    <w:rsid w:val="00EA0A8A"/>
    <w:rsid w:val="00EA2544"/>
    <w:rsid w:val="00EA2620"/>
    <w:rsid w:val="00EA65E2"/>
    <w:rsid w:val="00EB26FF"/>
    <w:rsid w:val="00EB7045"/>
    <w:rsid w:val="00EE5E33"/>
    <w:rsid w:val="00EF14F4"/>
    <w:rsid w:val="00F140AB"/>
    <w:rsid w:val="00F708D4"/>
    <w:rsid w:val="00F71976"/>
    <w:rsid w:val="00F75DD7"/>
    <w:rsid w:val="00F76B67"/>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96</cp:revision>
  <dcterms:created xsi:type="dcterms:W3CDTF">2020-12-04T19:11:00Z</dcterms:created>
  <dcterms:modified xsi:type="dcterms:W3CDTF">2020-12-04T20:50:00Z</dcterms:modified>
</cp:coreProperties>
</file>