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9B1A82" w:rsidRDefault="009B1A82"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9B1A82" w:rsidRPr="00167DBA" w:rsidRDefault="009B1A82"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9B1A82" w:rsidRPr="00167DBA" w:rsidRDefault="009B1A82"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9B1A82" w:rsidRPr="00167DBA" w:rsidRDefault="002C177D">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9B1A82" w:rsidRPr="00167DBA" w:rsidRDefault="002C177D">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1A82" w:rsidRPr="00167DBA">
                                <w:rPr>
                                  <w:rFonts w:cstheme="minorHAnsi"/>
                                  <w:color w:val="2F5496" w:themeColor="accent1" w:themeShade="BF"/>
                                  <w:sz w:val="72"/>
                                  <w:szCs w:val="72"/>
                                </w:rPr>
                                <w:t>KRR Challenges and Potential</w:t>
                              </w:r>
                            </w:sdtContent>
                          </w:sdt>
                        </w:p>
                        <w:p w14:paraId="087A360F" w14:textId="112E4CEF" w:rsidR="009B1A82" w:rsidRPr="00167DBA" w:rsidRDefault="009B1A82">
                          <w:pPr>
                            <w:pStyle w:val="NoSpacing"/>
                            <w:spacing w:before="40" w:after="40"/>
                            <w:rPr>
                              <w:caps/>
                              <w:color w:val="2F5496" w:themeColor="accent1" w:themeShade="BF"/>
                              <w:sz w:val="28"/>
                              <w:szCs w:val="28"/>
                            </w:rPr>
                          </w:pPr>
                        </w:p>
                        <w:p w14:paraId="5378A0CF" w14:textId="19988958" w:rsidR="009B1A82" w:rsidRDefault="009B1A82">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9B1A82" w:rsidRPr="00A95E5B" w:rsidRDefault="002C177D">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9B1A82" w:rsidRPr="00A95E5B" w:rsidRDefault="002C177D">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9B1A82" w:rsidRPr="00A95E5B">
                                <w:rPr>
                                  <w:color w:val="FFFFFF" w:themeColor="background1"/>
                                  <w:sz w:val="24"/>
                                  <w:szCs w:val="24"/>
                                </w:rPr>
                                <w:t xml:space="preserve">     </w:t>
                              </w:r>
                            </w:sdtContent>
                          </w:sdt>
                          <w:r w:rsidR="009B1A82"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2ADA155B" w14:textId="77777777" w:rsidR="004B2109" w:rsidRDefault="004B2109" w:rsidP="004B2109">
      <w:pPr>
        <w:rPr>
          <w:rFonts w:ascii="Calibri" w:hAnsi="Calibri" w:cs="Calibri"/>
        </w:rPr>
      </w:pPr>
    </w:p>
    <w:p w14:paraId="0788C220" w14:textId="248C064A" w:rsidR="004B2109" w:rsidRPr="00E03407" w:rsidRDefault="004B2109" w:rsidP="004B2109">
      <w:pPr>
        <w:rPr>
          <w:rFonts w:ascii="Calibri" w:hAnsi="Calibri" w:cs="Calibri"/>
        </w:rPr>
      </w:pPr>
      <w:r>
        <w:rPr>
          <w:rFonts w:ascii="Calibri" w:hAnsi="Calibri" w:cs="Calibri"/>
        </w:rPr>
        <w:t>Word Count: 1,511</w:t>
      </w:r>
    </w:p>
    <w:p w14:paraId="3B1DDBAA" w14:textId="0380DB1C" w:rsidR="00F140AB" w:rsidRDefault="00F140AB" w:rsidP="00F140AB"/>
    <w:p w14:paraId="36F70EF0" w14:textId="45651B2A" w:rsidR="00F140AB" w:rsidRPr="00CD0DCF" w:rsidRDefault="00F140AB" w:rsidP="003D091A">
      <w:pPr>
        <w:pStyle w:val="Heading2"/>
      </w:pPr>
      <w:r w:rsidRPr="00CD0DCF">
        <w:t xml:space="preserve">Winograd </w:t>
      </w:r>
      <w:r>
        <w:t>Schema Challenge</w:t>
      </w:r>
    </w:p>
    <w:p w14:paraId="3F04DC50" w14:textId="77777777" w:rsidR="00F140AB" w:rsidRPr="00CD0DCF" w:rsidRDefault="00F140AB" w:rsidP="00F140AB">
      <w:pPr>
        <w:rPr>
          <w:rFonts w:ascii="Calibri" w:hAnsi="Calibri" w:cs="Calibri"/>
          <w:b/>
          <w:bCs/>
        </w:rPr>
      </w:pPr>
    </w:p>
    <w:p w14:paraId="3884C72C" w14:textId="5FD5C050"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00C16400" w:rsidRPr="00C54DD5">
        <w:rPr>
          <w:rFonts w:ascii="Calibri" w:hAnsi="Calibri" w:cs="Calibri"/>
        </w:rPr>
        <w:t>Isaak</w:t>
      </w:r>
      <w:r w:rsidR="00AB402A">
        <w:rPr>
          <w:rFonts w:ascii="Calibri" w:hAnsi="Calibri" w:cs="Calibri"/>
        </w:rPr>
        <w:t xml:space="preserve"> </w:t>
      </w:r>
      <w:r w:rsidR="00C16400" w:rsidRPr="00C54DD5">
        <w:rPr>
          <w:rFonts w:ascii="Calibri" w:hAnsi="Calibri" w:cs="Calibri"/>
        </w:rPr>
        <w:t>N. and Michael L. 2020</w:t>
      </w:r>
      <w:r>
        <w:rPr>
          <w:rFonts w:ascii="Calibri" w:hAnsi="Calibri" w:cs="Calibri"/>
        </w:rPr>
        <w:t>)</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00511B2C" w:rsidRPr="00511B2C">
        <w:rPr>
          <w:rFonts w:ascii="Calibri" w:hAnsi="Calibri" w:cs="Calibri"/>
        </w:rPr>
        <w:t>Neufeld E. and Finnestad S. 2020</w:t>
      </w:r>
      <w:r>
        <w:rPr>
          <w:rFonts w:ascii="Calibri" w:hAnsi="Calibri" w:cs="Calibri"/>
        </w:rPr>
        <w:t>)</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00AA7CAE" w:rsidRPr="00AA7CAE">
        <w:rPr>
          <w:rFonts w:ascii="Calibri" w:hAnsi="Calibri" w:cs="Calibri"/>
        </w:rPr>
        <w:t>Neufeld E. and Finnestad S. 2020</w:t>
      </w:r>
      <w:r>
        <w:rPr>
          <w:rFonts w:ascii="Calibri" w:hAnsi="Calibri" w:cs="Calibri"/>
        </w:rPr>
        <w:t xml:space="preserve">).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lastRenderedPageBreak/>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3202577F"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00F75DD7" w:rsidRPr="00F75DD7">
        <w:rPr>
          <w:rFonts w:ascii="Calibri" w:hAnsi="Calibri" w:cs="Calibri"/>
        </w:rPr>
        <w:t>Neufeld E. and Finnestad S. 2020</w:t>
      </w:r>
      <w:r>
        <w:rPr>
          <w:rFonts w:ascii="Calibri" w:hAnsi="Calibri" w:cs="Calibri"/>
        </w:rPr>
        <w:t>)</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Richard-Bollans A.</w:t>
      </w:r>
      <w:r>
        <w:rPr>
          <w:rFonts w:ascii="Calibri" w:hAnsi="Calibri" w:cs="Calibri"/>
        </w:rPr>
        <w:t xml:space="preserve"> et al 2018). This has been shown to be fairly successful in solving Winograd schemas, with graph-based representation solutions being some of the frontrunners within this approach (Sharma A. 2019). </w:t>
      </w:r>
    </w:p>
    <w:p w14:paraId="7E5DF66B" w14:textId="75C36114" w:rsidR="00763313" w:rsidRDefault="00763313" w:rsidP="00F140AB">
      <w:pPr>
        <w:rPr>
          <w:rFonts w:ascii="Calibri" w:hAnsi="Calibri" w:cs="Calibri"/>
        </w:rPr>
      </w:pPr>
    </w:p>
    <w:p w14:paraId="63701FFE" w14:textId="7DC763F3"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commonsense knowledge, which could assist both AI engineering and AI research, helping to develop Virtual Personal Assistants, for example (Morgenstern L. </w:t>
      </w:r>
      <w:r w:rsidR="003B1212">
        <w:rPr>
          <w:rFonts w:ascii="Calibri" w:hAnsi="Calibri" w:cs="Calibri"/>
        </w:rPr>
        <w:t>and Ortiz-Jr C L.</w:t>
      </w:r>
      <w:r>
        <w:rPr>
          <w:rFonts w:ascii="Calibri" w:hAnsi="Calibri" w:cs="Calibri"/>
        </w:rPr>
        <w:t xml:space="preserve"> 2015). It </w:t>
      </w:r>
      <w:r w:rsidR="0099335D">
        <w:rPr>
          <w:rFonts w:ascii="Calibri" w:hAnsi="Calibri" w:cs="Calibri"/>
        </w:rPr>
        <w:t>has been</w:t>
      </w:r>
      <w:r>
        <w:rPr>
          <w:rFonts w:ascii="Calibri" w:hAnsi="Calibri" w:cs="Calibri"/>
        </w:rPr>
        <w:t xml:space="preserve"> considered a</w:t>
      </w:r>
      <w:r w:rsidR="006E45A7">
        <w:rPr>
          <w:rFonts w:ascii="Calibri" w:hAnsi="Calibri" w:cs="Calibri"/>
        </w:rPr>
        <w:t>n effective</w:t>
      </w:r>
      <w:r>
        <w:rPr>
          <w:rFonts w:ascii="Calibri" w:hAnsi="Calibri" w:cs="Calibri"/>
        </w:rPr>
        <w:t xml:space="preserve"> way to objectively track progress of research in the field of commonsense reasoning (Morgenstern L. </w:t>
      </w:r>
      <w:r w:rsidR="003B1212">
        <w:rPr>
          <w:rFonts w:ascii="Calibri" w:hAnsi="Calibri" w:cs="Calibri"/>
        </w:rPr>
        <w:t>and Ortiz-Jr C L.</w:t>
      </w:r>
      <w:r>
        <w:rPr>
          <w:rFonts w:ascii="Calibri" w:hAnsi="Calibri" w:cs="Calibri"/>
        </w:rPr>
        <w:t xml:space="preserve"> 2015). </w:t>
      </w:r>
    </w:p>
    <w:p w14:paraId="6F550259" w14:textId="77777777" w:rsidR="00F140AB" w:rsidRDefault="00F140AB" w:rsidP="00F140AB">
      <w:pPr>
        <w:rPr>
          <w:rFonts w:ascii="Calibri" w:hAnsi="Calibri" w:cs="Calibri"/>
        </w:rPr>
      </w:pPr>
    </w:p>
    <w:p w14:paraId="2B47F257" w14:textId="1CB9AA53"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Richard-Bollans A.</w:t>
      </w:r>
      <w:r>
        <w:rPr>
          <w:rFonts w:ascii="Calibri" w:hAnsi="Calibri" w:cs="Calibri"/>
        </w:rPr>
        <w:t xml:space="preserve"> et al 2018). Furthermore, KRR relies on commonsense reasoning, for which our current level of understanding is far from complete (</w:t>
      </w:r>
      <w:r w:rsidR="00FE35D8" w:rsidRPr="00C54DD5">
        <w:rPr>
          <w:rFonts w:ascii="Calibri" w:hAnsi="Calibri" w:cs="Calibri"/>
        </w:rPr>
        <w:t>Davis E. and Marcus G. 2015</w:t>
      </w:r>
      <w:r>
        <w:rPr>
          <w:rFonts w:ascii="Calibri" w:hAnsi="Calibri" w:cs="Calibri"/>
        </w:rPr>
        <w:t xml:space="preserve">, </w:t>
      </w:r>
      <w:r w:rsidRPr="00C54DD5">
        <w:rPr>
          <w:rFonts w:ascii="Calibri" w:hAnsi="Calibri" w:cs="Calibri"/>
        </w:rPr>
        <w:t>Richard-Bollans A.</w:t>
      </w:r>
      <w:r>
        <w:rPr>
          <w:rFonts w:ascii="Calibri" w:hAnsi="Calibri" w:cs="Calibri"/>
        </w:rPr>
        <w:t xml:space="preserve"> et al 2018). Additionally, it is difficult to determine the level of abstraction needed to enable the computer to understand the problem (</w:t>
      </w:r>
      <w:r w:rsidR="00FE35D8" w:rsidRPr="00C54DD5">
        <w:rPr>
          <w:rFonts w:ascii="Calibri" w:hAnsi="Calibri" w:cs="Calibri"/>
        </w:rPr>
        <w:t>Davis E. and Marcus</w:t>
      </w:r>
      <w:r w:rsidR="00AB402A">
        <w:rPr>
          <w:rFonts w:ascii="Calibri" w:hAnsi="Calibri" w:cs="Calibri"/>
        </w:rPr>
        <w:t xml:space="preserve"> </w:t>
      </w:r>
      <w:r w:rsidR="00FE35D8" w:rsidRPr="00C54DD5">
        <w:rPr>
          <w:rFonts w:ascii="Calibri" w:hAnsi="Calibri" w:cs="Calibri"/>
        </w:rPr>
        <w:t>G. 2015</w:t>
      </w:r>
      <w:r>
        <w:rPr>
          <w:rFonts w:ascii="Calibri" w:hAnsi="Calibri" w:cs="Calibri"/>
        </w:rPr>
        <w:t>).  Scenarios which seem simple to a human may in fact require hugely complex logical deductions for a computer to understand them (</w:t>
      </w:r>
      <w:r w:rsidR="00CF08E6" w:rsidRPr="00C54DD5">
        <w:rPr>
          <w:rFonts w:ascii="Calibri" w:hAnsi="Calibri" w:cs="Calibri"/>
        </w:rPr>
        <w:t>Davis E. and Marcus G. 2015</w:t>
      </w:r>
      <w:r>
        <w:rPr>
          <w:rFonts w:ascii="Calibri" w:hAnsi="Calibri" w:cs="Calibri"/>
        </w:rPr>
        <w:t xml:space="preserve">). </w:t>
      </w:r>
    </w:p>
    <w:p w14:paraId="0228BD90" w14:textId="66819CBC" w:rsidR="00F140AB" w:rsidRDefault="00F140AB" w:rsidP="00F140AB">
      <w:pPr>
        <w:rPr>
          <w:rFonts w:ascii="Calibri" w:hAnsi="Calibri" w:cs="Calibri"/>
          <w:b/>
          <w:bCs/>
        </w:rPr>
      </w:pPr>
    </w:p>
    <w:p w14:paraId="1566C7B8" w14:textId="37E5EDDD" w:rsidR="003D091A" w:rsidRDefault="003D091A" w:rsidP="003D091A">
      <w:pPr>
        <w:pStyle w:val="Heading2"/>
      </w:pPr>
      <w:r>
        <w:t xml:space="preserve">Choices of Plausible Alternatives (COPA) </w:t>
      </w:r>
    </w:p>
    <w:p w14:paraId="399A8A1C" w14:textId="77777777" w:rsidR="008E147B" w:rsidRPr="00CD0DCF" w:rsidRDefault="008E147B" w:rsidP="00F140AB">
      <w:pPr>
        <w:rPr>
          <w:rFonts w:ascii="Calibri" w:hAnsi="Calibri" w:cs="Calibri"/>
          <w:b/>
          <w:bCs/>
        </w:rPr>
      </w:pPr>
    </w:p>
    <w:p w14:paraId="2C1332E3" w14:textId="7C05F0EA" w:rsidR="003D091A" w:rsidRDefault="003D091A" w:rsidP="003D091A">
      <w:r>
        <w:t>Another popular approach to commonsense causal reasoning is the Choices of Plausible Alternatives (COPA) dataset. The COPA dataset was developed by Andrew Gordon as an evaluation tool for “open-domain commonsense causal reasoning”</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was heavily inspired from the Recognizing Textural Entailments (RTE) challenges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Each question would feature a text fragment and a hypothesis with the goal of determining whether or not the hypothesis is true based on its entailment in the text fragment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following example demonstrates positive entailment:</w:t>
      </w:r>
    </w:p>
    <w:p w14:paraId="7793F139" w14:textId="77777777" w:rsidR="003D091A" w:rsidRDefault="003D091A" w:rsidP="003D091A"/>
    <w:p w14:paraId="019A11D8" w14:textId="77777777" w:rsidR="003D091A" w:rsidRPr="00A85051" w:rsidRDefault="003D091A" w:rsidP="003D091A">
      <w:pPr>
        <w:rPr>
          <w:i/>
          <w:iCs/>
        </w:rPr>
      </w:pPr>
      <w:r w:rsidRPr="00A85051">
        <w:rPr>
          <w:i/>
          <w:iCs/>
        </w:rPr>
        <w:t>Text fragment: “Cavern Club sessions paid the Beatles £15 evenings and £5 lunchtime.</w:t>
      </w:r>
    </w:p>
    <w:p w14:paraId="0EAB41F2" w14:textId="3E37B7C2" w:rsidR="003D091A" w:rsidRPr="00A85051" w:rsidRDefault="003D091A" w:rsidP="003D091A">
      <w:pPr>
        <w:rPr>
          <w:i/>
          <w:iCs/>
        </w:rPr>
      </w:pPr>
      <w:r w:rsidRPr="00A85051">
        <w:rPr>
          <w:i/>
          <w:iCs/>
        </w:rPr>
        <w:t>Hypothesis: The Beatles performed at Cavern Club at lunchtime</w:t>
      </w:r>
      <w:r w:rsidR="00AD2046">
        <w:rPr>
          <w:i/>
          <w:iCs/>
        </w:rPr>
        <w:t xml:space="preserve"> </w:t>
      </w:r>
      <w:r w:rsidR="003A6655">
        <w:rPr>
          <w:i/>
          <w:iCs/>
        </w:rPr>
        <w:fldChar w:fldCharType="begin"/>
      </w:r>
      <w:r w:rsidR="003A6655">
        <w:rPr>
          <w:i/>
          <w:iCs/>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i/>
          <w:iCs/>
        </w:rPr>
        <w:fldChar w:fldCharType="separate"/>
      </w:r>
      <w:r w:rsidR="003A6655">
        <w:rPr>
          <w:i/>
          <w:iCs/>
          <w:noProof/>
        </w:rPr>
        <w:t>(</w:t>
      </w:r>
      <w:hyperlink w:anchor="_ENREF_5" w:tooltip="Roemmele, 2011 #38" w:history="1">
        <w:r w:rsidR="003A6655">
          <w:rPr>
            <w:i/>
            <w:iCs/>
            <w:noProof/>
          </w:rPr>
          <w:t>Roemmele et al., 2011</w:t>
        </w:r>
      </w:hyperlink>
      <w:r w:rsidR="003A6655">
        <w:rPr>
          <w:i/>
          <w:iCs/>
          <w:noProof/>
        </w:rPr>
        <w:t>)</w:t>
      </w:r>
      <w:r w:rsidR="003A6655">
        <w:rPr>
          <w:i/>
          <w:iCs/>
        </w:rPr>
        <w:fldChar w:fldCharType="end"/>
      </w:r>
      <w:r w:rsidRPr="00A85051">
        <w:rPr>
          <w:i/>
          <w:iCs/>
        </w:rPr>
        <w:t>.</w:t>
      </w:r>
    </w:p>
    <w:p w14:paraId="5B0D966A" w14:textId="77777777" w:rsidR="003D091A" w:rsidRDefault="003D091A" w:rsidP="003D091A"/>
    <w:p w14:paraId="33503A03" w14:textId="582D8DEB" w:rsidR="003D091A" w:rsidRDefault="003D091A" w:rsidP="003D091A">
      <w:r>
        <w:t>Although RTE was a great evaluation tool for inferential capability, it was found to be much less useful for evaluating commonsense inference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This was due to the inherent distinction between entailment and implication</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Entailments are inferences that are necessarily true due to the meaning in the text</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Whereas implications are inferences that are expected to be true due to likely causes, effects of the text or are default assumptions</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In summary, the entailment between two text fragments is either strongly positive or negative whereas implications are judged by the degree of plausibility</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w:t>
      </w:r>
    </w:p>
    <w:p w14:paraId="27CE4AA0" w14:textId="77777777" w:rsidR="003D091A" w:rsidRDefault="003D091A" w:rsidP="003D091A"/>
    <w:p w14:paraId="3011A52E" w14:textId="748FC645" w:rsidR="003D091A" w:rsidRDefault="003D091A" w:rsidP="003D091A">
      <w:r>
        <w:t>In order to test for commonsense casual implication, the COPA date set was developed based on modified RTE</w:t>
      </w:r>
      <w:r w:rsidR="00AD2046">
        <w:t xml:space="preserve"> </w:t>
      </w:r>
      <w:r w:rsidR="003A6655">
        <w:fldChar w:fldCharType="begin"/>
      </w:r>
      <w:r w:rsidR="003A6655">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fldChar w:fldCharType="separate"/>
      </w:r>
      <w:r w:rsidR="003A6655">
        <w:rPr>
          <w:noProof/>
        </w:rPr>
        <w:t>(</w:t>
      </w:r>
      <w:hyperlink w:anchor="_ENREF_5" w:tooltip="Roemmele, 2011 #38" w:history="1">
        <w:r w:rsidR="003A6655">
          <w:rPr>
            <w:noProof/>
          </w:rPr>
          <w:t>Roemmele et al., 2011</w:t>
        </w:r>
      </w:hyperlink>
      <w:r w:rsidR="003A6655">
        <w:rPr>
          <w:noProof/>
        </w:rPr>
        <w:t>)</w:t>
      </w:r>
      <w:r w:rsidR="003A6655">
        <w:fldChar w:fldCharType="end"/>
      </w:r>
      <w:r>
        <w:t>. The dataset contains 1000 multiple choice questions with each question being composited of: A statement (premise) and two choices (plausible alternatives)</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Both alternatives could have a causal relation to the premise and thus could be a plausible cause or effect of the given premise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For example:</w:t>
      </w:r>
    </w:p>
    <w:p w14:paraId="2FFAB35F" w14:textId="77777777" w:rsidR="003D091A" w:rsidRDefault="003D091A" w:rsidP="003D091A"/>
    <w:p w14:paraId="3FC01F4D" w14:textId="77777777" w:rsidR="003D091A" w:rsidRDefault="003D091A" w:rsidP="003D091A">
      <w:pPr>
        <w:pStyle w:val="Heading3"/>
      </w:pPr>
      <w:r>
        <w:t>Scenario 1 – (Forward causal reasoning)</w:t>
      </w:r>
    </w:p>
    <w:p w14:paraId="487D9401" w14:textId="36B5AA00" w:rsidR="003D091A" w:rsidRDefault="003D091A" w:rsidP="003D091A"/>
    <w:p w14:paraId="724783B6" w14:textId="29EFFBE8" w:rsidR="00A60707" w:rsidRDefault="00A60707" w:rsidP="003D091A">
      <w:r>
        <w:t xml:space="preserve">Question #9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1662567" w14:textId="77777777" w:rsidR="00A60707" w:rsidRPr="00D3567A" w:rsidRDefault="00A60707" w:rsidP="003D091A"/>
    <w:p w14:paraId="14A3CBB3"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6ACA43A1"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6C915AC4" w14:textId="77777777" w:rsidR="003D091A" w:rsidRPr="00A85051" w:rsidRDefault="003D091A" w:rsidP="003D091A">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1F5404F8" w14:textId="77777777" w:rsidR="003D091A" w:rsidRDefault="003D091A" w:rsidP="003D091A"/>
    <w:p w14:paraId="754F69FE" w14:textId="77777777" w:rsidR="003D091A" w:rsidRDefault="003D091A" w:rsidP="003D091A">
      <w:pPr>
        <w:pStyle w:val="Heading3"/>
      </w:pPr>
      <w:r>
        <w:t>Scenario 2 – (Backward causal reasoning)</w:t>
      </w:r>
    </w:p>
    <w:p w14:paraId="02A2358E" w14:textId="5C053C2E" w:rsidR="003D091A" w:rsidRDefault="003D091A" w:rsidP="003D091A"/>
    <w:p w14:paraId="4FE28C33" w14:textId="1D9F0B46" w:rsidR="00A60707" w:rsidRDefault="00A60707" w:rsidP="003D091A">
      <w:r>
        <w:t xml:space="preserve">Question #3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693D882C" w14:textId="77777777" w:rsidR="00A60707" w:rsidRPr="00D3567A" w:rsidRDefault="00A60707" w:rsidP="003D091A"/>
    <w:p w14:paraId="23ED3ADD"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5EF8058E"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6BF9FE30" w14:textId="77777777" w:rsidR="003D091A" w:rsidRPr="00EA2620" w:rsidRDefault="003D091A" w:rsidP="003D0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70995CF6" w14:textId="77777777" w:rsidR="003D091A" w:rsidRDefault="003D091A" w:rsidP="003D091A"/>
    <w:p w14:paraId="46904E5D" w14:textId="2C294EC5" w:rsidR="003D091A" w:rsidRDefault="003D091A" w:rsidP="003D091A">
      <w:r>
        <w:t>The examples presented above demonstrate the two formats available in the COPA dataset, with the alternatives demonstrating either: The plausible effects of the premise (forward causal reasoning) or the plausible causes of the premise (backward casual reasoning)</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In both examples either of the presented alternatives is deemed to be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However, the correct answer is the alternative that is deemed to be the most plausible</w:t>
      </w:r>
      <w:r w:rsidR="00AD2046">
        <w:t xml:space="preserve"> </w:t>
      </w:r>
      <w:r w:rsidR="003A6655">
        <w:fldChar w:fldCharType="begin"/>
      </w:r>
      <w:r w:rsidR="003A6655">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5" w:tooltip="Roemmele, 2011 #38" w:history="1">
        <w:r w:rsidR="003A6655">
          <w:rPr>
            <w:noProof/>
          </w:rPr>
          <w:t>Roemmele et al., 2011{Luo, 2016 #39</w:t>
        </w:r>
      </w:hyperlink>
      <w:r w:rsidR="003A6655">
        <w:rPr>
          <w:noProof/>
        </w:rPr>
        <w:t xml:space="preserve">; </w:t>
      </w:r>
      <w:hyperlink w:anchor="_ENREF_6" w:tooltip="Roemmele, 2018 #40" w:history="1">
        <w:r w:rsidR="003A6655">
          <w:rPr>
            <w:noProof/>
          </w:rPr>
          <w:t>Roemmele and Gordon, 2018</w:t>
        </w:r>
      </w:hyperlink>
      <w:r w:rsidR="003A6655">
        <w:rPr>
          <w:noProof/>
        </w:rPr>
        <w:t>)</w:t>
      </w:r>
      <w:r w:rsidR="003A6655">
        <w:fldChar w:fldCharType="end"/>
      </w:r>
      <w:r w:rsidR="00AD2046">
        <w:t>}</w:t>
      </w:r>
      <w:r>
        <w:t xml:space="preserve">. </w:t>
      </w:r>
    </w:p>
    <w:p w14:paraId="291B2F83" w14:textId="77777777" w:rsidR="003D091A" w:rsidRDefault="003D091A" w:rsidP="003D091A"/>
    <w:p w14:paraId="12FA7362" w14:textId="5B50D099" w:rsidR="003D091A" w:rsidRDefault="003D091A" w:rsidP="003D091A">
      <w:pPr>
        <w:rPr>
          <w:color w:val="000000" w:themeColor="text1"/>
        </w:rPr>
      </w:pPr>
      <w:r>
        <w:rPr>
          <w:color w:val="000000" w:themeColor="text1"/>
        </w:rPr>
        <w:lastRenderedPageBreak/>
        <w:t xml:space="preserve">To the human reader it is intuitively evident that in the first scenario, the first alternative is the most plausible </w:t>
      </w:r>
      <w:r w:rsidRPr="00D0650E">
        <w:rPr>
          <w:i/>
          <w:iCs/>
          <w:color w:val="000000" w:themeColor="text1"/>
        </w:rPr>
        <w:t>result</w:t>
      </w:r>
      <w:r>
        <w:rPr>
          <w:i/>
          <w:iCs/>
          <w:color w:val="000000" w:themeColor="text1"/>
        </w:rPr>
        <w:t>/effect</w:t>
      </w:r>
      <w:r>
        <w:rPr>
          <w:color w:val="000000" w:themeColor="text1"/>
        </w:rPr>
        <w:t xml:space="preserve"> of the premise, and that in the second scenario</w:t>
      </w:r>
      <w:r w:rsidRPr="00D0650E">
        <w:rPr>
          <w:color w:val="000000" w:themeColor="text1"/>
        </w:rPr>
        <w:t xml:space="preserve"> </w:t>
      </w:r>
      <w:r>
        <w:rPr>
          <w:color w:val="000000" w:themeColor="text1"/>
        </w:rPr>
        <w:t xml:space="preserve">the second alternative is the most plausible </w:t>
      </w:r>
      <w:r w:rsidRPr="00D0650E">
        <w:rPr>
          <w:i/>
          <w:iCs/>
          <w:color w:val="000000" w:themeColor="text1"/>
        </w:rPr>
        <w:t>cause</w:t>
      </w:r>
      <w:r>
        <w:rPr>
          <w:color w:val="000000" w:themeColor="text1"/>
        </w:rPr>
        <w:t xml:space="preserve"> of the premise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This intuition or “commonsense” requires the individual to implicitly know that misdiagnosing a patient would likely make the patient distrustful of the doctor and potentially file a lawsuit if there was malpractice or that socially many people “meet for coffee” as a way to catch up likely more often than visiting a café at a new location. The reader does not need to be explicitly told this information in order to make the correct inference. </w:t>
      </w:r>
    </w:p>
    <w:p w14:paraId="2D293252" w14:textId="77777777" w:rsidR="003D091A" w:rsidRDefault="003D091A" w:rsidP="003D091A">
      <w:pPr>
        <w:rPr>
          <w:color w:val="000000" w:themeColor="text1"/>
        </w:rPr>
      </w:pPr>
    </w:p>
    <w:p w14:paraId="207C44B7" w14:textId="500DF7DF" w:rsidR="003D091A" w:rsidRDefault="003D091A" w:rsidP="003D091A">
      <w:pPr>
        <w:rPr>
          <w:color w:val="000000" w:themeColor="text1"/>
        </w:rPr>
      </w:pPr>
      <w:r>
        <w:rPr>
          <w:color w:val="000000" w:themeColor="text1"/>
        </w:rPr>
        <w:t>The COPA dataset provides a way to test a system’s or AI’s ability to make commonsense causal reasoning judgements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 Roemmele and Gordon, 2018)&lt;/DisplayText&gt;&lt;record&gt;&lt;rec-number&gt;38&lt;/rec-number&gt;&lt;foreign-keys&gt;&lt;key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Cite&gt;&lt;Author&gt;Roemmele&lt;/Author&gt;&lt;Year&gt;2018&lt;/Year&gt;&lt;RecNum&gt;40&lt;/RecNum&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 xml:space="preserve">; </w:t>
      </w:r>
      <w:hyperlink w:anchor="_ENREF_6" w:tooltip="Roemmele, 2018 #40" w:history="1">
        <w:r w:rsidR="003A6655">
          <w:rPr>
            <w:noProof/>
            <w:color w:val="000000" w:themeColor="text1"/>
          </w:rPr>
          <w:t>Roemmele and Gordon, 2018</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The questions pose a forced choice in its alternatives with a definitive right answer which makes it easier to determine a system’s performance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Interestingly, the dataset was compiled in such a way that when tested on human raters the raters were nearly in 100% agreement on the answers of all of the question</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Furthermore, the dataset is split into a development set and test set to prevent overfitting with the system being able to achieve an accuracy of exactly 50% just by guessing</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&lt;EndNote&gt;&lt;Cite&gt;&lt;Author&gt;Roemmele&lt;/Author&gt;&lt;Year&gt;2011&lt;/Year&gt;&lt;RecNum&gt;38&lt;/RecNum&gt;&lt;Suffix&gt;{Roemmele`, 2018 `#40&lt;/Suffix&gt;&lt;DisplayText&gt;(Roemmele et al., 2011{Roemmele, 2018 #40)&lt;/DisplayText&gt;&lt;record&gt;&lt;rec-number&gt;38&lt;/rec-number&gt;&lt;foreign-keys&gt;&lt;key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2011{Roemmele, 2018 #40</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w:t>
      </w:r>
    </w:p>
    <w:p w14:paraId="5A64DA8C" w14:textId="77777777" w:rsidR="003D091A" w:rsidRDefault="003D091A" w:rsidP="003D091A">
      <w:pPr>
        <w:rPr>
          <w:color w:val="000000" w:themeColor="text1"/>
        </w:rPr>
      </w:pPr>
    </w:p>
    <w:p w14:paraId="70009910" w14:textId="2B6F04B5" w:rsidR="00F140AB" w:rsidRPr="004B2109" w:rsidRDefault="003D091A" w:rsidP="004B2109">
      <w:pPr>
        <w:rPr>
          <w:color w:val="000000" w:themeColor="text1"/>
        </w:rPr>
      </w:pPr>
      <w:r>
        <w:rPr>
          <w:color w:val="000000" w:themeColor="text1"/>
        </w:rPr>
        <w:t>In order to make a correct inference, the system would likely need to have a causality bridge (knowledge that connects the premise to the correct alternative)</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is due to “commonsense” often being assumed knowledge and not explicitly expressed in day-to-day activities when determining the plausibility of the cause or effect of an event</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&lt;EndNote&gt;&lt;Cite&gt;&lt;Author&gt;Roemmele&lt;/Author&gt;&lt;Year&gt;2011&lt;/Year&gt;&lt;RecNum&gt;38&lt;/RecNum&gt;&lt;DisplayText&gt;(Roemmele et al., 2011)&lt;/DisplayText&gt;&lt;record&gt;&lt;rec-number&gt;38&lt;/rec-number&gt;&lt;foreign-keys&gt;&lt;key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w:t>
        </w:r>
      </w:hyperlink>
      <w:r w:rsidR="003A6655">
        <w:rPr>
          <w:noProof/>
          <w:color w:val="000000" w:themeColor="text1"/>
        </w:rPr>
        <w:t>)</w:t>
      </w:r>
      <w:r w:rsidR="003A6655">
        <w:rPr>
          <w:color w:val="000000" w:themeColor="text1"/>
        </w:rPr>
        <w:fldChar w:fldCharType="end"/>
      </w:r>
      <w:r>
        <w:rPr>
          <w:color w:val="000000" w:themeColor="text1"/>
        </w:rPr>
        <w:t>. This continues to pose a substantial challenge for AI causal reasoning inference systems</w:t>
      </w:r>
      <w:r w:rsidR="006D5715">
        <w:rPr>
          <w:color w:val="000000" w:themeColor="text1"/>
        </w:rPr>
        <w:t xml:space="preserve"> </w:t>
      </w:r>
      <w:r w:rsidR="003A6655">
        <w:rPr>
          <w:color w:val="000000" w:themeColor="text1"/>
        </w:rPr>
        <w:fldChar w:fldCharType="begin"/>
      </w:r>
      <w:r w:rsidR="003A6655">
        <w:rPr>
          <w:color w:val="000000" w:themeColor="text1"/>
        </w:rPr>
        <w:instrText xml:space="preserve"> ADDIN EN.CITE &lt;EndNote&gt;&lt;Cite&gt;&lt;Author&gt;Roemmele&lt;/Author&gt;&lt;Year&gt;2011&lt;/Year&gt;&lt;RecNum&gt;38&lt;/RecNum&gt;&lt;Suffix&gt;{Luo`, 2016 `#39&lt;/Suffix&gt;&lt;DisplayText&gt;(Roemmele et al., 2011{Luo, 2016 #39)&lt;/DisplayText&gt;&lt;record&gt;&lt;rec-number&gt;38&lt;/rec-number&gt;&lt;foreign-keys&gt;&lt;key app="EN" db-id="vwvzxetr0zsrzlez204xvsek09e9v9r2a9r2" timestamp="1607179615" guid="56b39fc3-79e5-4dca-8bd6-ef1592431445"&gt;38&lt;/key&gt;&lt;/foreign-keys&gt;&lt;ref-type name="Book"&gt;6&lt;/ref-type&gt;&lt;contributors&gt;&lt;authors&gt;&lt;author&gt;Roemmele, Melissa&lt;/author&gt;&lt;author&gt;Bejan, Cosmin&lt;/author&gt;&lt;author&gt;Gordon, Andrew&lt;/author&gt;&lt;/authors&gt;&lt;/contributors&gt;&lt;titles&gt;&lt;title&gt;Choice of Plausible Alternatives: An Evaluation of Commonsense Causal Reasoning&lt;/title&gt;&lt;alt-title&gt;AAAI Spring Symposium - Technical Report&lt;/alt-title&gt;&lt;/titles&gt;&lt;dates&gt;&lt;year&gt;2011&lt;/year&gt;&lt;/dates&gt;&lt;urls&gt;&lt;/urls&gt;&lt;/record&gt;&lt;/Cite&gt;&lt;/EndNote&gt;</w:instrText>
      </w:r>
      <w:r w:rsidR="003A6655">
        <w:rPr>
          <w:color w:val="000000" w:themeColor="text1"/>
        </w:rPr>
        <w:fldChar w:fldCharType="separate"/>
      </w:r>
      <w:r w:rsidR="003A6655">
        <w:rPr>
          <w:noProof/>
          <w:color w:val="000000" w:themeColor="text1"/>
        </w:rPr>
        <w:t>(</w:t>
      </w:r>
      <w:hyperlink w:anchor="_ENREF_5" w:tooltip="Roemmele, 2011 #38" w:history="1">
        <w:r w:rsidR="003A6655">
          <w:rPr>
            <w:noProof/>
            <w:color w:val="000000" w:themeColor="text1"/>
          </w:rPr>
          <w:t>Roemmele et al., 2011{Luo, 2016 #39</w:t>
        </w:r>
      </w:hyperlink>
      <w:r w:rsidR="003A6655">
        <w:rPr>
          <w:noProof/>
          <w:color w:val="000000" w:themeColor="text1"/>
        </w:rPr>
        <w:t>)</w:t>
      </w:r>
      <w:r w:rsidR="003A6655">
        <w:rPr>
          <w:color w:val="000000" w:themeColor="text1"/>
        </w:rPr>
        <w:fldChar w:fldCharType="end"/>
      </w:r>
      <w:r w:rsidR="006D5715">
        <w:rPr>
          <w:color w:val="000000" w:themeColor="text1"/>
        </w:rPr>
        <w:t>}</w:t>
      </w:r>
      <w:r>
        <w:rPr>
          <w:color w:val="000000" w:themeColor="text1"/>
        </w:rPr>
        <w:t xml:space="preserve">. </w:t>
      </w:r>
    </w:p>
    <w:p w14:paraId="0FD62DED" w14:textId="25834E62" w:rsidR="00A95E5B" w:rsidRPr="00A95E5B" w:rsidRDefault="00A95E5B" w:rsidP="00A95E5B">
      <w:pPr>
        <w:pStyle w:val="Heading1"/>
      </w:pPr>
      <w:r w:rsidRPr="00A95E5B">
        <w:t>E</w:t>
      </w:r>
      <w:r w:rsidR="00E03407">
        <w:t>x</w:t>
      </w:r>
      <w:r w:rsidRPr="00A95E5B">
        <w:t>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173AD559" w:rsidR="0048280E" w:rsidRPr="00D10523" w:rsidRDefault="0048280E" w:rsidP="0048280E">
      <w:pPr>
        <w:rPr>
          <w:b/>
          <w:bCs/>
        </w:rPr>
      </w:pPr>
      <w:r w:rsidRPr="00D10523">
        <w:rPr>
          <w:b/>
          <w:bCs/>
        </w:rPr>
        <w:t>Problem</w:t>
      </w:r>
      <w:r w:rsidR="005B2113">
        <w:rPr>
          <w:b/>
          <w:bCs/>
        </w:rPr>
        <w:t xml:space="preserve"> 1</w:t>
      </w:r>
      <w:r w:rsidRPr="00D10523">
        <w:rPr>
          <w:b/>
          <w:bCs/>
        </w:rPr>
        <w:t>: From a collection of Winograd schemas, number 1</w:t>
      </w:r>
      <w:r>
        <w:rPr>
          <w:b/>
          <w:bCs/>
        </w:rPr>
        <w:t>3</w:t>
      </w:r>
      <w:r w:rsidRPr="00D10523">
        <w:rPr>
          <w:b/>
          <w:bCs/>
        </w:rPr>
        <w:t>7</w:t>
      </w:r>
      <w:r w:rsidR="00904346">
        <w:rPr>
          <w:b/>
          <w:bCs/>
        </w:rPr>
        <w:t xml:space="preserve"> (Davis E. et al 2011)</w:t>
      </w:r>
      <w:r w:rsidR="00904346" w:rsidRPr="00D10523">
        <w:rPr>
          <w:b/>
          <w:bCs/>
        </w:rPr>
        <w:t>.</w:t>
      </w:r>
    </w:p>
    <w:p w14:paraId="439D0EC7" w14:textId="77777777" w:rsidR="0048280E" w:rsidRDefault="0048280E" w:rsidP="0048280E"/>
    <w:p w14:paraId="7B4CAF19" w14:textId="6F08A672"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sidR="00B76B73">
        <w:rPr>
          <w:rFonts w:ascii="AppleSystemUIFont" w:hAnsi="AppleSystemUIFont" w:cs="AppleSystemUIFont"/>
          <w:i/>
          <w:iCs/>
        </w:rPr>
        <w:t xml:space="preserve"> </w:t>
      </w:r>
      <w:r w:rsidR="00B76B73" w:rsidRPr="00B76B73">
        <w:rPr>
          <w:rFonts w:ascii="AppleSystemUIFont" w:hAnsi="AppleSystemUIFont" w:cs="AppleSystemUIFont"/>
          <w:i/>
          <w:iCs/>
        </w:rPr>
        <w:t>(</w:t>
      </w:r>
      <w:r w:rsidR="00B76B73" w:rsidRPr="00B76B73">
        <w:t>Davis E. et al 2011)</w:t>
      </w:r>
    </w:p>
    <w:p w14:paraId="47E644DF" w14:textId="77777777" w:rsidR="0048280E" w:rsidRDefault="0048280E" w:rsidP="0048280E"/>
    <w:p w14:paraId="67ED0357" w14:textId="58C04FCF"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w:t>
      </w:r>
      <w:r w:rsidR="00FE704B">
        <w:rPr>
          <w:rFonts w:ascii="AppleSystemUIFont" w:hAnsi="AppleSystemUIFont" w:cs="AppleSystemUIFont"/>
        </w:rPr>
        <w:t>(Levesque H. J. et al 2011)</w:t>
      </w:r>
      <w:r>
        <w:rPr>
          <w:rFonts w:ascii="AppleSystemUIFont" w:hAnsi="AppleSystemUIFont" w:cs="AppleSystemUIFont"/>
        </w:rPr>
        <w:t xml:space="preserve">. </w:t>
      </w:r>
    </w:p>
    <w:p w14:paraId="0AA602C4" w14:textId="77777777" w:rsidR="0048280E" w:rsidRDefault="0048280E" w:rsidP="0048280E"/>
    <w:p w14:paraId="1DC4CABC" w14:textId="7CE09DD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r w:rsidR="00562AE5">
        <w:t xml:space="preserve"> (</w:t>
      </w:r>
      <w:r w:rsidR="00326AAF" w:rsidRPr="00326AAF">
        <w:rPr>
          <w:rFonts w:ascii="Calibri" w:hAnsi="Calibri" w:cs="Calibri"/>
        </w:rPr>
        <w:t>Grosan C. and Abraham A. 2011</w:t>
      </w:r>
      <w:r w:rsidR="00562AE5">
        <w:rPr>
          <w:rFonts w:ascii="Calibri" w:hAnsi="Calibri" w:cs="Calibri"/>
        </w:rPr>
        <w:t>)</w:t>
      </w:r>
      <w:r>
        <w:t>.</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DB22A8">
      <w:pPr>
        <w:jc w:val="center"/>
      </w:pPr>
      <w:r>
        <w:t>IsColour(Lemon, Yellow)</w:t>
      </w:r>
    </w:p>
    <w:p w14:paraId="786A9104" w14:textId="77777777" w:rsidR="0048280E" w:rsidRDefault="0048280E" w:rsidP="00DB22A8">
      <w:pPr>
        <w:jc w:val="center"/>
      </w:pPr>
    </w:p>
    <w:p w14:paraId="2B4A31FA" w14:textId="77777777" w:rsidR="0048280E" w:rsidRPr="00A00D76"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IsShape(Lemon, Oval)</w:t>
      </w:r>
    </w:p>
    <w:p w14:paraId="586C1079" w14:textId="77777777" w:rsidR="0048280E" w:rsidRDefault="0048280E" w:rsidP="00DB22A8">
      <w:pPr>
        <w:jc w:val="center"/>
      </w:pPr>
    </w:p>
    <w:p w14:paraId="44C0C4D4" w14:textId="77777777" w:rsidR="0048280E" w:rsidRDefault="0048280E" w:rsidP="00DB22A8">
      <w:pPr>
        <w:jc w:val="center"/>
        <w:rPr>
          <w:rFonts w:ascii="AppleSystemUIFont" w:hAnsi="AppleSystemUIFont" w:cs="AppleSystemUIFont"/>
        </w:rPr>
      </w:pPr>
      <w:r>
        <w:rPr>
          <w:rFonts w:ascii="AppleSystemUIFont" w:hAnsi="AppleSystemUIFont" w:cs="AppleSystemUIFont"/>
        </w:rPr>
        <w:t>IsLength(Lemon, Short)</w:t>
      </w:r>
    </w:p>
    <w:p w14:paraId="324BCECF" w14:textId="77777777" w:rsidR="0048280E" w:rsidRDefault="0048280E" w:rsidP="00DB22A8">
      <w:pPr>
        <w:jc w:val="center"/>
        <w:rPr>
          <w:rFonts w:ascii="AppleSystemUIFont" w:hAnsi="AppleSystemUIFont" w:cs="AppleSystemUIFont"/>
        </w:rPr>
      </w:pPr>
    </w:p>
    <w:p w14:paraId="2149B437" w14:textId="77777777" w:rsidR="0048280E" w:rsidRDefault="0048280E" w:rsidP="00DB22A8">
      <w:pPr>
        <w:jc w:val="center"/>
        <w:rPr>
          <w:rFonts w:ascii="AppleSystemUIFont" w:hAnsi="AppleSystemUIFont" w:cs="AppleSystemUIFont"/>
        </w:rPr>
      </w:pPr>
      <w:r>
        <w:rPr>
          <w:rFonts w:ascii="AppleSystemUIFont" w:hAnsi="AppleSystemUIFont" w:cs="AppleSystemUIFont"/>
        </w:rPr>
        <w:t>IsDepth(Lemon, Thick)</w:t>
      </w:r>
    </w:p>
    <w:p w14:paraId="239373BB" w14:textId="77777777" w:rsidR="0048280E" w:rsidRDefault="0048280E" w:rsidP="00DB22A8">
      <w:pPr>
        <w:jc w:val="center"/>
        <w:rPr>
          <w:rFonts w:ascii="AppleSystemUIFont" w:hAnsi="AppleSystemUIFont" w:cs="AppleSystemUIFont"/>
        </w:rPr>
      </w:pPr>
    </w:p>
    <w:p w14:paraId="6ACB86ED" w14:textId="77777777" w:rsidR="0048280E" w:rsidRDefault="0048280E" w:rsidP="00DB22A8">
      <w:pPr>
        <w:jc w:val="center"/>
        <w:rPr>
          <w:rFonts w:ascii="AppleSystemUIFont" w:hAnsi="AppleSystemUIFont" w:cs="AppleSystemUIFont"/>
        </w:rPr>
      </w:pPr>
      <w:r>
        <w:rPr>
          <w:rFonts w:ascii="AppleSystemUIFont" w:hAnsi="AppleSystemUIFont" w:cs="AppleSystemUIFont"/>
        </w:rPr>
        <w:t>IsWidth(Lemon, Wide)</w:t>
      </w:r>
    </w:p>
    <w:p w14:paraId="1D042291" w14:textId="77777777" w:rsidR="0048280E" w:rsidRDefault="0048280E" w:rsidP="00DB22A8">
      <w:pPr>
        <w:jc w:val="center"/>
        <w:rPr>
          <w:rFonts w:ascii="AppleSystemUIFont" w:hAnsi="AppleSystemUIFont" w:cs="AppleSystemUIFont"/>
        </w:rPr>
      </w:pPr>
    </w:p>
    <w:p w14:paraId="42AEE0E1" w14:textId="77777777" w:rsidR="0048280E" w:rsidRDefault="0048280E" w:rsidP="00DB22A8">
      <w:pPr>
        <w:autoSpaceDE w:val="0"/>
        <w:autoSpaceDN w:val="0"/>
        <w:adjustRightInd w:val="0"/>
        <w:jc w:val="center"/>
        <w:rPr>
          <w:rFonts w:ascii="AppleSystemUIFont" w:hAnsi="AppleSystemUIFont" w:cs="AppleSystemUIFont"/>
        </w:rPr>
      </w:pPr>
      <w:r w:rsidRPr="00A00D76">
        <w:rPr>
          <w:rFonts w:ascii="AppleSystemUIFont" w:hAnsi="AppleSystemUIFont" w:cs="AppleSystemUIFont"/>
        </w:rPr>
        <w:t>IsPlural(Lemons,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DB22A8">
      <w:pPr>
        <w:jc w:val="cente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DB22A8">
      <w:pPr>
        <w:jc w:val="center"/>
        <w:rPr>
          <w:rFonts w:ascii="AppleSystemUIFont" w:hAnsi="AppleSystemUIFont" w:cs="AppleSystemUIFont"/>
        </w:rPr>
      </w:pPr>
    </w:p>
    <w:p w14:paraId="54D2A42B" w14:textId="77777777" w:rsidR="0048280E" w:rsidRPr="00F70FB0" w:rsidRDefault="0048280E" w:rsidP="00DB22A8">
      <w:pPr>
        <w:jc w:val="center"/>
        <w:rPr>
          <w:rFonts w:ascii="AppleSystemUIFont" w:hAnsi="AppleSystemUIFont" w:cs="AppleSystemUIFont"/>
        </w:rPr>
      </w:pPr>
      <w:r w:rsidRPr="003C056E">
        <w:rPr>
          <w:rFonts w:ascii="AppleSystemUIFont" w:hAnsi="AppleSystemUIFont" w:cs="AppleSystemUIFont"/>
        </w:rPr>
        <w:t>Paint(Orchard) -&gt; ( Paint(Lemons) &amp; Paint(Lemon_trees)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DB22A8">
      <w:pPr>
        <w:autoSpaceDE w:val="0"/>
        <w:autoSpaceDN w:val="0"/>
        <w:adjustRightInd w:val="0"/>
        <w:jc w:val="center"/>
        <w:rPr>
          <w:rFonts w:ascii="AppleSystemUIFont" w:hAnsi="AppleSystemUIFont" w:cs="AppleSystemUIFont"/>
        </w:rPr>
      </w:pPr>
    </w:p>
    <w:p w14:paraId="4776EE23"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 See(x) -&gt; exists y LooksLike(x,y)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IsPlantType(Lemon_tree, Tree)</w:t>
      </w:r>
    </w:p>
    <w:p w14:paraId="5758E67A" w14:textId="77777777" w:rsidR="0048280E" w:rsidRDefault="0048280E" w:rsidP="00DB22A8">
      <w:pPr>
        <w:autoSpaceDE w:val="0"/>
        <w:autoSpaceDN w:val="0"/>
        <w:adjustRightInd w:val="0"/>
        <w:jc w:val="center"/>
        <w:rPr>
          <w:rFonts w:ascii="AppleSystemUIFont" w:hAnsi="AppleSystemUIFont" w:cs="AppleSystemUIFont"/>
        </w:rPr>
      </w:pPr>
    </w:p>
    <w:p w14:paraId="088EAAFE"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all y ( IsPlantType(x, y) -&gt; LooksLike(x,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Then we add transitivity and reflexivity for LooksLike:</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DB22A8">
      <w:pPr>
        <w:autoSpaceDE w:val="0"/>
        <w:autoSpaceDN w:val="0"/>
        <w:adjustRightInd w:val="0"/>
        <w:jc w:val="center"/>
        <w:rPr>
          <w:rFonts w:ascii="AppleSystemUIFont" w:hAnsi="AppleSystemUIFont" w:cs="AppleSystemUIFont"/>
        </w:rPr>
      </w:pPr>
      <w:r>
        <w:rPr>
          <w:rFonts w:ascii="AppleSystemUIFont" w:hAnsi="AppleSystemUIFont" w:cs="AppleSystemUIFont"/>
        </w:rPr>
        <w:t>all x all y all z ( ( LooksLike(x,y) &amp; LooksLike(y,z) ) -&gt; LooksLike(x,z) )</w:t>
      </w:r>
    </w:p>
    <w:p w14:paraId="34211E6B" w14:textId="77777777" w:rsidR="0048280E" w:rsidRDefault="0048280E" w:rsidP="00DB22A8">
      <w:pPr>
        <w:autoSpaceDE w:val="0"/>
        <w:autoSpaceDN w:val="0"/>
        <w:adjustRightInd w:val="0"/>
        <w:jc w:val="center"/>
        <w:rPr>
          <w:rFonts w:ascii="AppleSystemUIFont" w:hAnsi="AppleSystemUIFont" w:cs="AppleSystemUIFont"/>
        </w:rPr>
      </w:pPr>
    </w:p>
    <w:p w14:paraId="7598C197"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y ( LooksLike(x,y) &lt;-&gt; LooksLike(y,x)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l exists w exists d ( IsLength(x,l) &amp; IsLength(y,l) &amp; IsWidth(x,w) &amp; IsWidth(y, w) &amp; IsDepth(x,d) &amp; IsDepth(x,d) ) ) -&gt; exists v ( IsSize(x, v) &amp; IsSize(y,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all u all v (  ( LooksLike(x, u) &amp; IsPlural(y, x) &amp; IsPlural(v, u) ) -&gt; LooksLike(y, v) ).</w:t>
      </w:r>
    </w:p>
    <w:p w14:paraId="48675F57" w14:textId="77777777" w:rsidR="0048280E" w:rsidRDefault="0048280E" w:rsidP="00DB22A8">
      <w:pPr>
        <w:jc w:val="cente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w all y ( ( IsShape(x, w) &amp; -(y=w) ) -&gt; ( -IsShape(x,y) ) ).</w:t>
      </w:r>
    </w:p>
    <w:p w14:paraId="11D4EDD2" w14:textId="77777777" w:rsidR="0048280E" w:rsidRDefault="0048280E" w:rsidP="00DB22A8">
      <w:pPr>
        <w:jc w:val="center"/>
        <w:rPr>
          <w:rFonts w:ascii="AppleSystemUIFont" w:hAnsi="AppleSystemUIFont" w:cs="AppleSystemUIFont"/>
        </w:rPr>
      </w:pPr>
    </w:p>
    <w:p w14:paraId="30B44D28" w14:textId="77777777" w:rsidR="0048280E" w:rsidRDefault="0048280E" w:rsidP="00DB22A8">
      <w:pPr>
        <w:jc w:val="center"/>
        <w:rPr>
          <w:rFonts w:ascii="AppleSystemUIFont" w:hAnsi="AppleSystemUIFont" w:cs="AppleSystemUIFont"/>
        </w:rPr>
      </w:pPr>
      <w:r>
        <w:rPr>
          <w:rFonts w:ascii="AppleSystemUIFont" w:hAnsi="AppleSystemUIFont" w:cs="AppleSystemUIFont"/>
        </w:rPr>
        <w:t>all x all v all y ( ( IsSize(x, v) &amp; -(y=v) ) -&gt; ( -IsSize(x,y)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DB22A8">
      <w:pPr>
        <w:jc w:val="center"/>
        <w:rPr>
          <w:rFonts w:ascii="AppleSystemUIFont" w:hAnsi="AppleSystemUIFont" w:cs="AppleSystemUIFont"/>
        </w:rPr>
      </w:pPr>
      <w:r w:rsidRPr="003C056E">
        <w:rPr>
          <w:rFonts w:ascii="AppleSystemUIFont" w:hAnsi="AppleSystemUIFont" w:cs="AppleSystemUIFont"/>
        </w:rPr>
        <w:t>all x all y  ( ( exists z exists w exists v (IsShape(x,z) &amp; IsShape(y,z) &amp; IsColour(x,v) &amp; IsColour(y, v) &amp; IsSize(x, w) &amp; IsSize(y, w) ) ) &lt;-&gt; LooksLike(x,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48F63AD2" w:rsidR="0048280E" w:rsidRPr="00AE71DD" w:rsidRDefault="0048280E" w:rsidP="0048280E">
      <w:pPr>
        <w:rPr>
          <w:rFonts w:ascii="AppleSystemUIFont" w:hAnsi="AppleSystemUIFont" w:cs="AppleSystemUIFont"/>
        </w:rPr>
      </w:pPr>
      <w:r>
        <w:rPr>
          <w:rFonts w:ascii="Helvetica" w:hAnsi="Helvetica" w:cs="Helvetica"/>
          <w:color w:val="000000"/>
        </w:rPr>
        <w:t>Word count: 6</w:t>
      </w:r>
      <w:r w:rsidR="00003009">
        <w:rPr>
          <w:rFonts w:ascii="Helvetica" w:hAnsi="Helvetica" w:cs="Helvetica"/>
          <w:color w:val="000000"/>
        </w:rPr>
        <w:t>24 (in</w:t>
      </w:r>
      <w:r w:rsidR="00317973">
        <w:rPr>
          <w:rFonts w:ascii="Helvetica" w:hAnsi="Helvetica" w:cs="Helvetica"/>
          <w:color w:val="000000"/>
        </w:rPr>
        <w:t>c.</w:t>
      </w:r>
      <w:r w:rsidR="00003009">
        <w:rPr>
          <w:rFonts w:ascii="Helvetica" w:hAnsi="Helvetica" w:cs="Helvetica"/>
          <w:color w:val="000000"/>
        </w:rPr>
        <w:t xml:space="preserve"> formulae)</w:t>
      </w:r>
    </w:p>
    <w:p w14:paraId="4C3CF409" w14:textId="77777777" w:rsidR="00167DBA" w:rsidRPr="001478D9" w:rsidRDefault="00167DBA" w:rsidP="00167DBA"/>
    <w:p w14:paraId="4907001A" w14:textId="35406E20" w:rsidR="00167DBA" w:rsidRDefault="00A95E5B" w:rsidP="00A95E5B">
      <w:pPr>
        <w:pStyle w:val="Heading2"/>
      </w:pPr>
      <w:r w:rsidRPr="00A95E5B">
        <w:t>Example 2</w:t>
      </w:r>
    </w:p>
    <w:p w14:paraId="03CD8ECE" w14:textId="77777777" w:rsidR="007229C0" w:rsidRPr="007229C0" w:rsidRDefault="007229C0" w:rsidP="007229C0"/>
    <w:p w14:paraId="3198CFC8" w14:textId="48224637" w:rsidR="00C3147C" w:rsidRPr="00D10523" w:rsidRDefault="00FB2C32" w:rsidP="00C3147C">
      <w:pPr>
        <w:rPr>
          <w:b/>
          <w:bCs/>
        </w:rPr>
      </w:pPr>
      <w:r>
        <w:rPr>
          <w:b/>
          <w:bCs/>
          <w:color w:val="000000"/>
          <w:sz w:val="28"/>
          <w:szCs w:val="28"/>
        </w:rPr>
        <w:t>Problem 2</w:t>
      </w:r>
      <w:r w:rsidR="00C3147C">
        <w:rPr>
          <w:b/>
          <w:bCs/>
          <w:color w:val="000000"/>
          <w:sz w:val="28"/>
          <w:szCs w:val="28"/>
        </w:rPr>
        <w:t xml:space="preserve">: </w:t>
      </w:r>
      <w:r w:rsidR="00C3147C" w:rsidRPr="00D10523">
        <w:rPr>
          <w:b/>
          <w:bCs/>
        </w:rPr>
        <w:t>From a collection of Winograd schemas, number 1</w:t>
      </w:r>
      <w:r w:rsidR="00C3147C">
        <w:rPr>
          <w:b/>
          <w:bCs/>
        </w:rPr>
        <w:t xml:space="preserve">48 </w:t>
      </w:r>
      <w:r w:rsidR="005A31D1">
        <w:rPr>
          <w:b/>
          <w:bCs/>
        </w:rPr>
        <w:t>(Davis E. et al 2011)</w:t>
      </w:r>
      <w:r w:rsidR="00C3147C" w:rsidRPr="00D10523">
        <w:rPr>
          <w:b/>
          <w:bCs/>
        </w:rPr>
        <w:t>.</w:t>
      </w:r>
    </w:p>
    <w:p w14:paraId="70D86A30" w14:textId="4E67F490" w:rsidR="00167DBA" w:rsidRDefault="00167DBA" w:rsidP="00167DBA">
      <w:pPr>
        <w:rPr>
          <w:b/>
          <w:bCs/>
          <w:color w:val="000000"/>
          <w:sz w:val="28"/>
          <w:szCs w:val="28"/>
        </w:rPr>
      </w:pPr>
    </w:p>
    <w:p w14:paraId="00A43A53" w14:textId="7998AAAB" w:rsidR="00167DBA" w:rsidRDefault="00167DBA" w:rsidP="00167DBA">
      <w:pPr>
        <w:rPr>
          <w:sz w:val="28"/>
          <w:szCs w:val="28"/>
        </w:rPr>
      </w:pPr>
      <w:r w:rsidRPr="00045B5E">
        <w:rPr>
          <w:i/>
          <w:iCs/>
          <w:color w:val="000000"/>
          <w:sz w:val="28"/>
          <w:szCs w:val="28"/>
        </w:rPr>
        <w:t>During a game of tag, Ethan [chased/ran from] Luke because he was "it". </w:t>
      </w:r>
      <w:r w:rsidRPr="00045B5E">
        <w:rPr>
          <w:i/>
          <w:iCs/>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Pr="00117AEF" w:rsidRDefault="00092092" w:rsidP="00117AEF">
      <w:bookmarkStart w:id="1" w:name="_Hlk57902445"/>
      <w:r w:rsidRPr="00117AEF">
        <w:lastRenderedPageBreak/>
        <w:t>In order to answer this the program will require additional knowledge and reasoning principles, primarily about the game of tag. We will first consider the knowledge that the program will need.</w:t>
      </w:r>
    </w:p>
    <w:p w14:paraId="009441C9" w14:textId="77777777" w:rsidR="00092092" w:rsidRPr="009549AF" w:rsidRDefault="00092092" w:rsidP="009549AF"/>
    <w:p w14:paraId="52AC7736" w14:textId="7C63DCD7" w:rsidR="00092092" w:rsidRPr="00117AEF" w:rsidRDefault="00092092" w:rsidP="00117AEF">
      <w:r w:rsidRPr="00117AEF">
        <w:t xml:space="preserve">A large part of the knowledge </w:t>
      </w:r>
      <w:r w:rsidR="00B6099C">
        <w:t>are</w:t>
      </w:r>
      <w:r w:rsidRPr="00117AEF">
        <w:t xml:space="preserv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Pr="004C1803" w:rsidRDefault="00092092" w:rsidP="004C1803"/>
    <w:p w14:paraId="169E80CB" w14:textId="52E797B4" w:rsidR="00092092" w:rsidRPr="00117AEF" w:rsidRDefault="00092092" w:rsidP="00117AEF">
      <w:r w:rsidRPr="00117AEF">
        <w:t>The other important part</w:t>
      </w:r>
      <w:r w:rsidR="00014A9B">
        <w:t>s</w:t>
      </w:r>
      <w:r w:rsidRPr="00117AEF">
        <w:t xml:space="preserve">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Pr="00282586" w:rsidRDefault="00092092" w:rsidP="00282586"/>
    <w:p w14:paraId="2A235EA9" w14:textId="50D50091" w:rsidR="00092092" w:rsidRPr="00117AEF" w:rsidRDefault="00092092" w:rsidP="00117AEF">
      <w:r w:rsidRPr="00117AEF">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r w:rsidR="002C3431" w:rsidRPr="00117AEF">
        <w:t>second,</w:t>
      </w:r>
      <w:r w:rsidRPr="00117AEF">
        <w:t xml:space="preserve"> then this conclusion switches around and the second person is “it”.</w:t>
      </w:r>
    </w:p>
    <w:p w14:paraId="29F34BF8" w14:textId="77777777" w:rsidR="00092092" w:rsidRPr="00FB305A" w:rsidRDefault="00092092" w:rsidP="00FB305A"/>
    <w:p w14:paraId="75B62303" w14:textId="77777777" w:rsidR="00092092" w:rsidRPr="00117AEF" w:rsidRDefault="00092092" w:rsidP="00117AEF">
      <w:r w:rsidRPr="00117AEF">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117AEF" w:rsidRDefault="00092092" w:rsidP="00117AEF">
      <w:r w:rsidRPr="00117AEF">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58055AEC" w:rsidR="00092092" w:rsidRDefault="00092092" w:rsidP="00117AEF">
      <w:r w:rsidRPr="00117AEF">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R(x,y) represents ‘x runs from y’ and C(x,y) represents ‘x chases y’. Using these we can then form the following two sentences.</w:t>
      </w:r>
    </w:p>
    <w:p w14:paraId="607E06B8" w14:textId="77777777" w:rsidR="009E0B4E" w:rsidRPr="00117AEF" w:rsidRDefault="009E0B4E" w:rsidP="00117AEF"/>
    <w:p w14:paraId="638BD9DD" w14:textId="77777777" w:rsidR="00092092" w:rsidRDefault="00092092" w:rsidP="00092092">
      <w:pPr>
        <w:pStyle w:val="ListParagraph"/>
        <w:jc w:val="center"/>
        <w:rPr>
          <w:sz w:val="24"/>
          <w:szCs w:val="24"/>
        </w:rPr>
      </w:pPr>
      <w:r>
        <w:rPr>
          <w:sz w:val="24"/>
          <w:szCs w:val="24"/>
        </w:rPr>
        <w:t>(T(Ethan) &amp; T(Luke) &amp; C(Ethan,Luke)) -&gt; IT(Ethan)</w:t>
      </w:r>
    </w:p>
    <w:p w14:paraId="0731D392" w14:textId="77777777" w:rsidR="00092092" w:rsidRDefault="00092092" w:rsidP="00092092">
      <w:pPr>
        <w:pStyle w:val="ListParagraph"/>
        <w:jc w:val="center"/>
        <w:rPr>
          <w:sz w:val="24"/>
          <w:szCs w:val="24"/>
        </w:rPr>
      </w:pPr>
      <w:r>
        <w:rPr>
          <w:sz w:val="24"/>
          <w:szCs w:val="24"/>
        </w:rPr>
        <w:t>(T(Ethan) &amp; T(Luke) &amp; R(Ethan,Luke)) -&gt; IT(Luke)</w:t>
      </w:r>
    </w:p>
    <w:p w14:paraId="1D8E4B2D" w14:textId="77777777" w:rsidR="00092092" w:rsidRDefault="00092092" w:rsidP="00092092">
      <w:pPr>
        <w:pStyle w:val="ListParagraph"/>
        <w:rPr>
          <w:sz w:val="24"/>
          <w:szCs w:val="24"/>
        </w:rPr>
      </w:pPr>
    </w:p>
    <w:p w14:paraId="76E6CD98" w14:textId="77777777" w:rsidR="00092092" w:rsidRPr="00117AEF" w:rsidRDefault="00092092" w:rsidP="00117AEF">
      <w:r w:rsidRPr="00117AEF">
        <w:t>We will now represent some of the facts that are required to know the answer in logical formula. In order to do this we need to define one more relation, Tou(x,y)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19253F7A" w:rsidR="00092092" w:rsidRPr="00117AEF" w:rsidRDefault="00092092" w:rsidP="00117AEF">
      <w:r w:rsidRPr="00117AEF">
        <w:t xml:space="preserve">If two people play tag and one chases the </w:t>
      </w:r>
      <w:r w:rsidR="00627FDB" w:rsidRPr="00117AEF">
        <w:t>other,</w:t>
      </w:r>
      <w:r w:rsidRPr="00117AEF">
        <w:t xml:space="preserve">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C(x,y)) -&gt; Tou(x,y))</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117AEF" w:rsidRDefault="00092092" w:rsidP="00117AEF">
      <w:r w:rsidRPr="00117AEF">
        <w:lastRenderedPageBreak/>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R(x,y)) -&gt; Tou(y,x))</w:t>
      </w:r>
    </w:p>
    <w:p w14:paraId="1D1CBE4C" w14:textId="77777777" w:rsidR="00092092" w:rsidRPr="00290BC4" w:rsidRDefault="00092092" w:rsidP="00092092">
      <w:pPr>
        <w:pStyle w:val="ListParagraph"/>
        <w:rPr>
          <w:sz w:val="24"/>
          <w:szCs w:val="24"/>
          <w:lang w:val="fr-FR"/>
        </w:rPr>
      </w:pPr>
    </w:p>
    <w:p w14:paraId="72BD32BD" w14:textId="28972F4C" w:rsidR="00092092" w:rsidRDefault="00092092" w:rsidP="00117AEF">
      <w:r w:rsidRPr="00117AEF">
        <w:t>If one person is trying to touch another the first person is “it”.</w:t>
      </w:r>
    </w:p>
    <w:p w14:paraId="4AFE3C5E" w14:textId="77777777" w:rsidR="00003009" w:rsidRPr="00117AEF" w:rsidRDefault="00003009" w:rsidP="00117AEF"/>
    <w:p w14:paraId="5F50614A" w14:textId="0FCA95FD" w:rsidR="00092092" w:rsidRDefault="00092092" w:rsidP="00092092">
      <w:pPr>
        <w:pStyle w:val="ListParagraph"/>
        <w:jc w:val="center"/>
        <w:rPr>
          <w:sz w:val="24"/>
          <w:szCs w:val="24"/>
          <w:lang w:val="fr-FR"/>
        </w:rPr>
      </w:pPr>
      <w:r w:rsidRPr="00290BC4">
        <w:rPr>
          <w:sz w:val="24"/>
          <w:szCs w:val="24"/>
          <w:lang w:val="fr-FR"/>
        </w:rPr>
        <w:t>All x All y ((T(x) &amp; T(y) &amp; Tou(x,y)) -&gt; IT(x))</w:t>
      </w:r>
    </w:p>
    <w:p w14:paraId="3921B361" w14:textId="608FBA14" w:rsidR="00003009" w:rsidRDefault="00003009" w:rsidP="00092092">
      <w:pPr>
        <w:pStyle w:val="ListParagraph"/>
        <w:jc w:val="center"/>
        <w:rPr>
          <w:sz w:val="24"/>
          <w:szCs w:val="24"/>
          <w:lang w:val="fr-FR"/>
        </w:rPr>
      </w:pPr>
    </w:p>
    <w:p w14:paraId="04E27872" w14:textId="0740AF22" w:rsidR="00003009" w:rsidRPr="00003009" w:rsidRDefault="00003009" w:rsidP="00003009">
      <w:pPr>
        <w:rPr>
          <w:lang w:val="fr-FR"/>
        </w:rPr>
      </w:pPr>
      <w:r w:rsidRPr="00003009">
        <w:rPr>
          <w:lang w:val="fr-FR"/>
        </w:rPr>
        <w:t>Word count : 569 (inc. formulae)</w:t>
      </w:r>
    </w:p>
    <w:bookmarkEnd w:id="1"/>
    <w:p w14:paraId="17D8D4C6" w14:textId="77777777" w:rsidR="00A95E5B" w:rsidRPr="00290BC4" w:rsidRDefault="00A95E5B" w:rsidP="00A95E5B">
      <w:pPr>
        <w:pStyle w:val="Heading2"/>
        <w:rPr>
          <w:lang w:val="fr-FR"/>
        </w:rPr>
      </w:pPr>
    </w:p>
    <w:p w14:paraId="7A3C8258" w14:textId="77777777" w:rsidR="006D5715" w:rsidRDefault="00A95E5B" w:rsidP="00A95E5B">
      <w:pPr>
        <w:pStyle w:val="Heading2"/>
      </w:pPr>
      <w:r w:rsidRPr="00A95E5B">
        <w:t>Example 3</w:t>
      </w:r>
      <w:r w:rsidR="006D5715">
        <w:t xml:space="preserve"> </w:t>
      </w:r>
    </w:p>
    <w:p w14:paraId="7A3B8B6A" w14:textId="77777777" w:rsidR="006D5715" w:rsidRDefault="006D5715" w:rsidP="00A95E5B">
      <w:pPr>
        <w:pStyle w:val="Heading2"/>
      </w:pPr>
    </w:p>
    <w:p w14:paraId="69208172" w14:textId="596062E8" w:rsidR="00167DBA" w:rsidRPr="006D5715" w:rsidRDefault="006D5715" w:rsidP="006D5715">
      <w:pPr>
        <w:rPr>
          <w:b/>
          <w:bCs/>
        </w:rPr>
      </w:pPr>
      <w:r w:rsidRPr="006D5715">
        <w:rPr>
          <w:b/>
          <w:bCs/>
        </w:rPr>
        <w:t>Word Count: 667</w:t>
      </w:r>
    </w:p>
    <w:p w14:paraId="7C0E489F" w14:textId="77777777" w:rsidR="00A95E5B" w:rsidRDefault="00A95E5B">
      <w:pPr>
        <w:rPr>
          <w:b/>
          <w:bCs/>
        </w:rPr>
      </w:pPr>
    </w:p>
    <w:p w14:paraId="311B554D" w14:textId="669FBAC9" w:rsidR="00167DBA" w:rsidRDefault="00A60707" w:rsidP="00A60707">
      <w:r>
        <w:t>Question</w:t>
      </w:r>
      <w:r w:rsidR="00EF2703">
        <w:t xml:space="preserve"> </w:t>
      </w:r>
      <w:r>
        <w:t>#</w:t>
      </w:r>
      <w:r w:rsidR="00EF2703">
        <w:t>1</w:t>
      </w:r>
      <w:r>
        <w:t xml:space="preserve"> from COPA </w:t>
      </w:r>
      <w:r w:rsidR="003A6655">
        <w:fldChar w:fldCharType="begin"/>
      </w:r>
      <w:r w:rsidR="003A6655">
        <w:instrText xml:space="preserve"> ADDIN EN.CITE &lt;EndNote&gt;&lt;Cite&gt;&lt;Author&gt;Gordon&lt;/Author&gt;&lt;Year&gt;2010&lt;/Year&gt;&lt;RecNum&gt;45&lt;/RecNum&gt;&lt;DisplayText&gt;(Gordon, 2010)&lt;/DisplayText&gt;&lt;record&gt;&lt;rec-number&gt;45&lt;/rec-number&gt;&lt;foreign-keys&gt;&lt;key app="EN" db-id="vwvzxetr0zsrzlez204xvsek09e9v9r2a9r2" timestamp="1607189002" guid="690efcdf-ddf4-4ece-8714-9bd058e18a5f"&gt;45&lt;/key&gt;&lt;/foreign-keys&gt;&lt;ref-type name="Web Page"&gt;12&lt;/ref-type&gt;&lt;contributors&gt;&lt;authors&gt;&lt;author&gt;Andrew S. Gordon&lt;/author&gt;&lt;/authors&gt;&lt;/contributors&gt;&lt;titles&gt;&lt;title&gt;COPA-questions-dev&lt;/title&gt;&lt;/titles&gt;&lt;volume&gt;2020&lt;/volume&gt;&lt;dates&gt;&lt;year&gt;2010&lt;/year&gt;&lt;/dates&gt;&lt;urls&gt;&lt;related-urls&gt;&lt;url&gt;https://people.ict.usc.edu/~gordon/downloads/COPA-questions-dev.txt&lt;/url&gt;&lt;/related-urls&gt;&lt;/urls&gt;&lt;/record&gt;&lt;/Cite&gt;&lt;/EndNote&gt;</w:instrText>
      </w:r>
      <w:r w:rsidR="003A6655">
        <w:fldChar w:fldCharType="separate"/>
      </w:r>
      <w:r w:rsidR="003A6655">
        <w:rPr>
          <w:noProof/>
        </w:rPr>
        <w:t>(</w:t>
      </w:r>
      <w:hyperlink w:anchor="_ENREF_2" w:tooltip="Gordon, 2010 #45" w:history="1">
        <w:r w:rsidR="003A6655">
          <w:rPr>
            <w:noProof/>
          </w:rPr>
          <w:t>Gordon, 2010</w:t>
        </w:r>
      </w:hyperlink>
      <w:r w:rsidR="003A6655">
        <w:rPr>
          <w:noProof/>
        </w:rPr>
        <w:t>)</w:t>
      </w:r>
      <w:r w:rsidR="003A6655">
        <w:fldChar w:fldCharType="end"/>
      </w:r>
      <w:r>
        <w:t>.</w:t>
      </w:r>
    </w:p>
    <w:p w14:paraId="3A5B348A" w14:textId="77777777" w:rsidR="00EA040A" w:rsidRPr="00167DBA" w:rsidRDefault="00EA040A">
      <w:pPr>
        <w:rPr>
          <w:b/>
          <w:bCs/>
        </w:rPr>
      </w:pPr>
    </w:p>
    <w:p w14:paraId="64589909" w14:textId="77777777" w:rsidR="00EF2703" w:rsidRPr="00EF2703" w:rsidRDefault="00EF2703" w:rsidP="00EF2703">
      <w:pPr>
        <w:rPr>
          <w:i/>
          <w:iCs/>
          <w:color w:val="000000" w:themeColor="text1"/>
        </w:rPr>
      </w:pPr>
      <w:r w:rsidRPr="00EF2703">
        <w:rPr>
          <w:i/>
          <w:iCs/>
          <w:color w:val="000000" w:themeColor="text1"/>
        </w:rPr>
        <w:t>Premise: My body cast a shadow over the grass. What was the CAUSE of this?</w:t>
      </w:r>
    </w:p>
    <w:p w14:paraId="5D62C8F6" w14:textId="77777777" w:rsidR="00EF2703" w:rsidRPr="00EF2703" w:rsidRDefault="00EF2703" w:rsidP="00EF2703">
      <w:pPr>
        <w:rPr>
          <w:i/>
          <w:iCs/>
          <w:color w:val="000000" w:themeColor="text1"/>
        </w:rPr>
      </w:pPr>
      <w:r w:rsidRPr="00EF2703">
        <w:rPr>
          <w:i/>
          <w:iCs/>
          <w:color w:val="000000" w:themeColor="text1"/>
        </w:rPr>
        <w:t>Alternative 1: The sun was rising.</w:t>
      </w:r>
    </w:p>
    <w:p w14:paraId="500B82E0" w14:textId="54BD75AF" w:rsidR="00B912D1" w:rsidRDefault="00EF2703" w:rsidP="00EF2703">
      <w:pPr>
        <w:rPr>
          <w:i/>
          <w:iCs/>
          <w:color w:val="000000" w:themeColor="text1"/>
        </w:rPr>
      </w:pPr>
      <w:r w:rsidRPr="00EF2703">
        <w:rPr>
          <w:i/>
          <w:iCs/>
          <w:color w:val="000000" w:themeColor="text1"/>
        </w:rPr>
        <w:t>Alternative 2: The grass was cut.</w:t>
      </w:r>
    </w:p>
    <w:p w14:paraId="0358A68D" w14:textId="7AFA18E1" w:rsidR="00EF2703" w:rsidRDefault="00EF2703" w:rsidP="00EF2703">
      <w:pPr>
        <w:rPr>
          <w:i/>
          <w:iCs/>
          <w:color w:val="000000" w:themeColor="text1"/>
        </w:rPr>
      </w:pPr>
    </w:p>
    <w:p w14:paraId="60849A66" w14:textId="00AF29D3" w:rsidR="002C3431" w:rsidRDefault="00EF2703" w:rsidP="00EF2703">
      <w:pPr>
        <w:rPr>
          <w:color w:val="000000" w:themeColor="text1"/>
        </w:rPr>
      </w:pPr>
      <w:r>
        <w:rPr>
          <w:color w:val="000000" w:themeColor="text1"/>
        </w:rPr>
        <w:t>Th</w:t>
      </w:r>
      <w:r w:rsidR="00DE2F3F">
        <w:rPr>
          <w:color w:val="000000" w:themeColor="text1"/>
        </w:rPr>
        <w:t xml:space="preserve">e presented COPA question above, </w:t>
      </w:r>
      <w:r>
        <w:rPr>
          <w:color w:val="000000" w:themeColor="text1"/>
        </w:rPr>
        <w:t xml:space="preserve">is an example of </w:t>
      </w:r>
      <w:r w:rsidR="00DE2F3F">
        <w:rPr>
          <w:color w:val="000000" w:themeColor="text1"/>
        </w:rPr>
        <w:t xml:space="preserve">a </w:t>
      </w:r>
      <w:r>
        <w:rPr>
          <w:color w:val="000000" w:themeColor="text1"/>
        </w:rPr>
        <w:t xml:space="preserve">backward casual reasoning </w:t>
      </w:r>
      <w:r w:rsidR="00DE2F3F">
        <w:rPr>
          <w:color w:val="000000" w:themeColor="text1"/>
        </w:rPr>
        <w:t xml:space="preserve">question </w:t>
      </w:r>
      <w:r>
        <w:rPr>
          <w:color w:val="000000" w:themeColor="text1"/>
        </w:rPr>
        <w:t xml:space="preserve">where the aim is to determine </w:t>
      </w:r>
      <w:r w:rsidR="00DE2F3F">
        <w:rPr>
          <w:color w:val="000000" w:themeColor="text1"/>
        </w:rPr>
        <w:t xml:space="preserve">what </w:t>
      </w:r>
      <w:r>
        <w:rPr>
          <w:i/>
          <w:iCs/>
          <w:color w:val="000000" w:themeColor="text1"/>
        </w:rPr>
        <w:t>cause</w:t>
      </w:r>
      <w:r w:rsidR="00DE2F3F">
        <w:rPr>
          <w:i/>
          <w:iCs/>
          <w:color w:val="000000" w:themeColor="text1"/>
        </w:rPr>
        <w:t>d</w:t>
      </w:r>
      <w:r>
        <w:rPr>
          <w:color w:val="000000" w:themeColor="text1"/>
        </w:rPr>
        <w:t xml:space="preserve"> the premise. In this case </w:t>
      </w:r>
      <w:r w:rsidR="00DE2F3F">
        <w:rPr>
          <w:color w:val="000000" w:themeColor="text1"/>
        </w:rPr>
        <w:t>we want to deduce what caused the body</w:t>
      </w:r>
      <w:r w:rsidR="002C3431">
        <w:rPr>
          <w:color w:val="000000" w:themeColor="text1"/>
        </w:rPr>
        <w:t xml:space="preserve"> of someone</w:t>
      </w:r>
      <w:r w:rsidR="00DE2F3F">
        <w:rPr>
          <w:color w:val="000000" w:themeColor="text1"/>
        </w:rPr>
        <w:t xml:space="preserve"> to cast a shadow over the grass. It is intuitively clear to the reader that the correct answer is meant to be the first alternative “</w:t>
      </w:r>
      <w:r w:rsidR="00D82B50">
        <w:rPr>
          <w:color w:val="000000" w:themeColor="text1"/>
        </w:rPr>
        <w:t>t</w:t>
      </w:r>
      <w:r w:rsidR="00DE2F3F">
        <w:rPr>
          <w:color w:val="000000" w:themeColor="text1"/>
        </w:rPr>
        <w:t xml:space="preserve">he sun was rising”. </w:t>
      </w:r>
      <w:r w:rsidR="002C3431">
        <w:rPr>
          <w:color w:val="000000" w:themeColor="text1"/>
        </w:rPr>
        <w:t>H</w:t>
      </w:r>
      <w:r w:rsidR="00DE2F3F">
        <w:rPr>
          <w:color w:val="000000" w:themeColor="text1"/>
        </w:rPr>
        <w:t>owever</w:t>
      </w:r>
      <w:r w:rsidR="002C3431">
        <w:rPr>
          <w:color w:val="000000" w:themeColor="text1"/>
        </w:rPr>
        <w:t>, this is not immediately clear without some background “commonsense” knowledge.</w:t>
      </w:r>
      <w:r w:rsidR="00DE2F3F">
        <w:rPr>
          <w:color w:val="000000" w:themeColor="text1"/>
        </w:rPr>
        <w:t xml:space="preserve"> </w:t>
      </w:r>
      <w:r w:rsidR="002C3431">
        <w:rPr>
          <w:color w:val="000000" w:themeColor="text1"/>
        </w:rPr>
        <w:t xml:space="preserve">It is </w:t>
      </w:r>
      <w:r w:rsidR="00DE2F3F">
        <w:rPr>
          <w:color w:val="000000" w:themeColor="text1"/>
        </w:rPr>
        <w:t>assume</w:t>
      </w:r>
      <w:r w:rsidR="002C3431">
        <w:rPr>
          <w:color w:val="000000" w:themeColor="text1"/>
        </w:rPr>
        <w:t>d</w:t>
      </w:r>
      <w:r w:rsidR="00DE2F3F">
        <w:rPr>
          <w:color w:val="000000" w:themeColor="text1"/>
        </w:rPr>
        <w:t xml:space="preserve"> that the reader </w:t>
      </w:r>
      <w:r w:rsidR="002C3431">
        <w:rPr>
          <w:color w:val="000000" w:themeColor="text1"/>
        </w:rPr>
        <w:t>knows that when an object (the body) obscures a light source (the sun) then the object will cast a shadow on the surface (the grass) opposite to the light source. It also assumes that the reader is aware that a rising sun will cast a shadow and that cut grass does not create a shadow.</w:t>
      </w:r>
    </w:p>
    <w:p w14:paraId="5AE44716" w14:textId="0288031E" w:rsidR="00A60707" w:rsidRDefault="00A60707" w:rsidP="00EF2703">
      <w:pPr>
        <w:rPr>
          <w:color w:val="000000" w:themeColor="text1"/>
        </w:rPr>
      </w:pPr>
    </w:p>
    <w:p w14:paraId="36EC58F6" w14:textId="6FB574D7" w:rsidR="00A60707" w:rsidRDefault="00A60707" w:rsidP="00EF2703">
      <w:pPr>
        <w:rPr>
          <w:color w:val="000000" w:themeColor="text1"/>
        </w:rPr>
      </w:pPr>
      <w:r>
        <w:rPr>
          <w:color w:val="000000" w:themeColor="text1"/>
        </w:rPr>
        <w:t xml:space="preserve">For a state-of-the-art KRR inspired solving approach please see the following reference </w:t>
      </w:r>
      <w:r w:rsidR="003A6655">
        <w:rPr>
          <w:color w:val="000000" w:themeColor="text1"/>
        </w:rPr>
        <w:fldChar w:fldCharType="begin"/>
      </w:r>
      <w:r w:rsidR="003A6655">
        <w:rPr>
          <w:color w:val="000000" w:themeColor="text1"/>
        </w:rPr>
        <w:instrText xml:space="preserve"> ADDIN EN.CITE &lt;EndNote&gt;&lt;Cite&gt;&lt;Author&gt;Luo&lt;/Author&gt;&lt;Year&gt;2016&lt;/Year&gt;&lt;RecNum&gt;39&lt;/RecNum&gt;&lt;DisplayText&gt;(Luo et al., 2016)&lt;/DisplayText&gt;&lt;record&gt;&lt;rec-number&gt;39&lt;/rec-number&gt;&lt;foreign-keys&gt;&lt;key app="EN" db-id="vwvzxetr0zsrzlez204xvsek09e9v9r2a9r2" timestamp="1607179738" guid="9700ac12-520e-457f-a794-e47f92554318"&gt;39&lt;/key&gt;&lt;/foreign-keys&gt;&lt;ref-type name="Conference Paper"&gt;47&lt;/ref-type&gt;&lt;contributors&gt;&lt;authors&gt;&lt;author&gt;Zhiyi Luo&lt;/author&gt;&lt;author&gt;Yuchen Sha&lt;/author&gt;&lt;author&gt;Kenny Q. Zhu&lt;/author&gt;&lt;author&gt;Seung-won Hwang&lt;/author&gt;&lt;author&gt;Zhongyuan Wang&lt;/author&gt;&lt;/authors&gt;&lt;/contributors&gt;&lt;titles&gt;&lt;title&gt;Commonsense causal reasoning between short texts&lt;/title&gt;&lt;secondary-title&gt;Proceedings of the Fifteenth International Conference on Principles of Knowledge Representation and Reasoning&lt;/secondary-title&gt;&lt;/titles&gt;&lt;pages&gt;421–430&lt;/pages&gt;&lt;dates&gt;&lt;year&gt;2016&lt;/year&gt;&lt;/dates&gt;&lt;pub-location&gt;Cape Town, South Africa&lt;/pub-location&gt;&lt;publisher&gt;AAAI Press&lt;/publisher&gt;&lt;urls&gt;&lt;/urls&gt;&lt;/record&gt;&lt;/Cite&gt;&lt;/EndNote&gt;</w:instrText>
      </w:r>
      <w:r w:rsidR="003A6655">
        <w:rPr>
          <w:color w:val="000000" w:themeColor="text1"/>
        </w:rPr>
        <w:fldChar w:fldCharType="separate"/>
      </w:r>
      <w:r w:rsidR="003A6655">
        <w:rPr>
          <w:noProof/>
          <w:color w:val="000000" w:themeColor="text1"/>
        </w:rPr>
        <w:t>(</w:t>
      </w:r>
      <w:hyperlink w:anchor="_ENREF_4" w:tooltip="Luo, 2016 #39" w:history="1">
        <w:r w:rsidR="003A6655">
          <w:rPr>
            <w:noProof/>
            <w:color w:val="000000" w:themeColor="text1"/>
          </w:rPr>
          <w:t>Luo et al., 2016</w:t>
        </w:r>
      </w:hyperlink>
      <w:r w:rsidR="003A6655">
        <w:rPr>
          <w:noProof/>
          <w:color w:val="000000" w:themeColor="text1"/>
        </w:rPr>
        <w:t>)</w:t>
      </w:r>
      <w:r w:rsidR="003A6655">
        <w:rPr>
          <w:color w:val="000000" w:themeColor="text1"/>
        </w:rPr>
        <w:fldChar w:fldCharType="end"/>
      </w:r>
      <w:r>
        <w:rPr>
          <w:color w:val="000000" w:themeColor="text1"/>
        </w:rPr>
        <w:t>.</w:t>
      </w:r>
    </w:p>
    <w:p w14:paraId="6E993D8B" w14:textId="4D106E59" w:rsidR="002C3431" w:rsidRDefault="002C3431" w:rsidP="00EF2703">
      <w:pPr>
        <w:rPr>
          <w:color w:val="000000" w:themeColor="text1"/>
        </w:rPr>
      </w:pPr>
    </w:p>
    <w:p w14:paraId="75AA9667" w14:textId="3FD5701C" w:rsidR="00EF2703" w:rsidRDefault="00EF2703" w:rsidP="00EF2703">
      <w:pPr>
        <w:pStyle w:val="Heading3"/>
      </w:pPr>
      <w:r>
        <w:t>Logical Formula</w:t>
      </w:r>
    </w:p>
    <w:p w14:paraId="680B9C40" w14:textId="0A6625CD" w:rsidR="00EF2703" w:rsidRDefault="00EF2703" w:rsidP="00EF2703">
      <w:pPr>
        <w:rPr>
          <w:color w:val="000000" w:themeColor="text1"/>
        </w:rPr>
      </w:pPr>
    </w:p>
    <w:p w14:paraId="0BC4D84E" w14:textId="2874B422" w:rsidR="00466063" w:rsidRDefault="00466063" w:rsidP="00EF2703">
      <w:pPr>
        <w:rPr>
          <w:color w:val="000000" w:themeColor="text1"/>
        </w:rPr>
      </w:pPr>
      <w:r>
        <w:rPr>
          <w:color w:val="000000" w:themeColor="text1"/>
        </w:rPr>
        <w:t>In order to tackle this question</w:t>
      </w:r>
      <w:r w:rsidR="00360487">
        <w:rPr>
          <w:color w:val="000000" w:themeColor="text1"/>
        </w:rPr>
        <w:t xml:space="preserve"> using first-order logic</w:t>
      </w:r>
      <w:r>
        <w:rPr>
          <w:color w:val="000000" w:themeColor="text1"/>
        </w:rPr>
        <w:t xml:space="preserve">, we first need to extract the key words and concepts needed to answer the question. Firstly, we assume that the light travels in a straight line and reflects back when obstructed by a dense surface or object.  We also assume that any obstructing object has a surface behind it. If the obstructing object is smaller than the surface behind it then a “shadow” (lack of light), in the shape of the object, is cast onto the surface. Secondly, we need to know that the sun is a light source and because it is rising it is casting light into the domain. We also need to know that the body is a dense object and likely smaller than the grass surface. We can also assume that due to gravity the body is standing on the surface and that there is grass behind the body due to the assumed size of the surface domain. </w:t>
      </w:r>
      <w:r w:rsidR="00D82B50">
        <w:rPr>
          <w:color w:val="000000" w:themeColor="text1"/>
        </w:rPr>
        <w:t xml:space="preserve">It can therefore be </w:t>
      </w:r>
      <w:r w:rsidR="00C66DE4">
        <w:rPr>
          <w:color w:val="000000" w:themeColor="text1"/>
        </w:rPr>
        <w:t>inferred</w:t>
      </w:r>
      <w:r w:rsidR="00D82B50">
        <w:rPr>
          <w:color w:val="000000" w:themeColor="text1"/>
        </w:rPr>
        <w:t xml:space="preserve"> that as the second </w:t>
      </w:r>
      <w:r w:rsidR="00D82B50">
        <w:rPr>
          <w:color w:val="000000" w:themeColor="text1"/>
        </w:rPr>
        <w:lastRenderedPageBreak/>
        <w:t>alternative choice “the grass was cut” does not have a light source that this could not be the cause of the shadow.</w:t>
      </w:r>
    </w:p>
    <w:p w14:paraId="5544D1ED" w14:textId="4C364731" w:rsidR="009B1A82" w:rsidRDefault="009B1A82" w:rsidP="00EF2703">
      <w:pPr>
        <w:rPr>
          <w:color w:val="000000" w:themeColor="text1"/>
        </w:rPr>
      </w:pPr>
    </w:p>
    <w:p w14:paraId="735172F5" w14:textId="3B63FC30" w:rsidR="00EF2703" w:rsidRDefault="009B1A82" w:rsidP="009B1A82">
      <w:pPr>
        <w:rPr>
          <w:color w:val="000000" w:themeColor="text1"/>
        </w:rPr>
      </w:pPr>
      <w:r>
        <w:rPr>
          <w:color w:val="000000" w:themeColor="text1"/>
        </w:rPr>
        <w:t>We want to define that the sun is a light source, that the body is an object and that the grass is the surface.</w:t>
      </w:r>
    </w:p>
    <w:p w14:paraId="05CE83E0" w14:textId="77777777" w:rsidR="009B1A82" w:rsidRPr="00EF2703" w:rsidRDefault="009B1A82" w:rsidP="009B1A82">
      <w:pPr>
        <w:rPr>
          <w:color w:val="000000" w:themeColor="text1"/>
        </w:rPr>
      </w:pPr>
    </w:p>
    <w:p w14:paraId="2462C93F" w14:textId="56BA8B1D" w:rsidR="00D0650E" w:rsidRDefault="00032672" w:rsidP="005B56D0">
      <w:pPr>
        <w:jc w:val="center"/>
        <w:rPr>
          <w:color w:val="000000" w:themeColor="text1"/>
        </w:rPr>
      </w:pPr>
      <w:r>
        <w:rPr>
          <w:color w:val="000000" w:themeColor="text1"/>
        </w:rPr>
        <w:t>Rising</w:t>
      </w:r>
      <w:r w:rsidR="005B56D0">
        <w:rPr>
          <w:color w:val="000000" w:themeColor="text1"/>
        </w:rPr>
        <w:t>(sun)</w:t>
      </w:r>
      <w:r>
        <w:rPr>
          <w:color w:val="000000" w:themeColor="text1"/>
        </w:rPr>
        <w:t xml:space="preserve"> – (this will become LightSource(sun))</w:t>
      </w:r>
    </w:p>
    <w:p w14:paraId="596171A5" w14:textId="794E324A" w:rsidR="005B56D0" w:rsidRDefault="005B56D0" w:rsidP="005B56D0">
      <w:pPr>
        <w:jc w:val="center"/>
        <w:rPr>
          <w:color w:val="000000" w:themeColor="text1"/>
        </w:rPr>
      </w:pPr>
      <w:r>
        <w:rPr>
          <w:color w:val="000000" w:themeColor="text1"/>
        </w:rPr>
        <w:t>Object(body)</w:t>
      </w:r>
    </w:p>
    <w:p w14:paraId="0C8B8BF1" w14:textId="61AF29F7" w:rsidR="009B1A82" w:rsidRDefault="005B56D0" w:rsidP="00032672">
      <w:pPr>
        <w:jc w:val="center"/>
        <w:rPr>
          <w:color w:val="000000" w:themeColor="text1"/>
        </w:rPr>
      </w:pPr>
      <w:r>
        <w:rPr>
          <w:color w:val="000000" w:themeColor="text1"/>
        </w:rPr>
        <w:t>Surface(grass)</w:t>
      </w:r>
    </w:p>
    <w:p w14:paraId="13B39DA5" w14:textId="6CB3834D" w:rsidR="00A97EA0" w:rsidRDefault="00A97EA0" w:rsidP="00A97EA0">
      <w:pPr>
        <w:rPr>
          <w:color w:val="000000" w:themeColor="text1"/>
        </w:rPr>
      </w:pPr>
    </w:p>
    <w:p w14:paraId="3DC1224D" w14:textId="63CB9F15" w:rsidR="00A97EA0" w:rsidRDefault="00032672" w:rsidP="00A97EA0">
      <w:pPr>
        <w:jc w:val="center"/>
        <w:rPr>
          <w:color w:val="000000" w:themeColor="text1"/>
        </w:rPr>
      </w:pPr>
      <w:r>
        <w:rPr>
          <w:color w:val="000000" w:themeColor="text1"/>
        </w:rPr>
        <w:t>all</w:t>
      </w:r>
      <w:r w:rsidR="00A97EA0">
        <w:rPr>
          <w:color w:val="000000" w:themeColor="text1"/>
        </w:rPr>
        <w:t xml:space="preserve"> x (Rising(x) -&gt; LightSource(x))</w:t>
      </w:r>
    </w:p>
    <w:p w14:paraId="3F1558FF" w14:textId="54D40782" w:rsidR="00A97EA0" w:rsidRDefault="00A97EA0" w:rsidP="00A97EA0">
      <w:pPr>
        <w:rPr>
          <w:color w:val="000000" w:themeColor="text1"/>
        </w:rPr>
      </w:pPr>
    </w:p>
    <w:p w14:paraId="6530EB87" w14:textId="11C0022D" w:rsidR="00A97EA0" w:rsidRDefault="00032672" w:rsidP="00A97EA0">
      <w:pPr>
        <w:rPr>
          <w:color w:val="000000" w:themeColor="text1"/>
        </w:rPr>
      </w:pPr>
      <w:r>
        <w:rPr>
          <w:color w:val="000000" w:themeColor="text1"/>
        </w:rPr>
        <w:t xml:space="preserve">We assume that the light source must be “rising” in order to be a light source (i.e., only the sun is a light source). </w:t>
      </w:r>
      <w:r w:rsidR="00A97EA0">
        <w:rPr>
          <w:color w:val="000000" w:themeColor="text1"/>
        </w:rPr>
        <w:t>If the sun is rising, then the sun is a light source.</w:t>
      </w:r>
    </w:p>
    <w:p w14:paraId="5BC97A7B" w14:textId="5B6CAA1B" w:rsidR="00032672" w:rsidRDefault="00032672" w:rsidP="00A97EA0">
      <w:pPr>
        <w:rPr>
          <w:color w:val="000000" w:themeColor="text1"/>
        </w:rPr>
      </w:pPr>
    </w:p>
    <w:p w14:paraId="72C6BD73" w14:textId="41D0F369" w:rsidR="00032672" w:rsidRDefault="00032672" w:rsidP="00032672">
      <w:pPr>
        <w:jc w:val="center"/>
        <w:rPr>
          <w:color w:val="000000" w:themeColor="text1"/>
        </w:rPr>
      </w:pPr>
      <w:r>
        <w:rPr>
          <w:color w:val="000000" w:themeColor="text1"/>
        </w:rPr>
        <w:t>Exists x (LightSource(x) &amp; All y (LightSource(y) -&gt; x = y))</w:t>
      </w:r>
    </w:p>
    <w:p w14:paraId="5E8694F2" w14:textId="6C0D00C5" w:rsidR="00032672" w:rsidRDefault="00032672" w:rsidP="00A97EA0">
      <w:pPr>
        <w:rPr>
          <w:color w:val="000000" w:themeColor="text1"/>
        </w:rPr>
      </w:pPr>
    </w:p>
    <w:p w14:paraId="49E3853E" w14:textId="0F4B9566" w:rsidR="00032672" w:rsidRDefault="00032672" w:rsidP="00A97EA0">
      <w:pPr>
        <w:rPr>
          <w:color w:val="000000" w:themeColor="text1"/>
        </w:rPr>
      </w:pPr>
      <w:r>
        <w:rPr>
          <w:color w:val="000000" w:themeColor="text1"/>
        </w:rPr>
        <w:t>We assume that there is only one light source (the sun).</w:t>
      </w:r>
    </w:p>
    <w:p w14:paraId="781C12F9" w14:textId="6810CE12" w:rsidR="00A97EA0" w:rsidRDefault="00A97EA0" w:rsidP="00A97EA0">
      <w:pPr>
        <w:rPr>
          <w:color w:val="000000" w:themeColor="text1"/>
        </w:rPr>
      </w:pPr>
    </w:p>
    <w:p w14:paraId="67BE6CDE" w14:textId="6ED732C6" w:rsidR="00A97EA0" w:rsidRPr="00003009" w:rsidRDefault="00A97EA0" w:rsidP="00A97EA0">
      <w:pPr>
        <w:jc w:val="center"/>
        <w:rPr>
          <w:color w:val="000000" w:themeColor="text1"/>
          <w:lang w:val="fr-FR"/>
        </w:rPr>
      </w:pPr>
      <w:r w:rsidRPr="00003009">
        <w:rPr>
          <w:color w:val="000000" w:themeColor="text1"/>
          <w:lang w:val="fr-FR"/>
        </w:rPr>
        <w:t>Exists z Exists y (</w:t>
      </w:r>
      <w:r w:rsidR="009B1A82" w:rsidRPr="00003009">
        <w:rPr>
          <w:color w:val="000000" w:themeColor="text1"/>
          <w:lang w:val="fr-FR"/>
        </w:rPr>
        <w:t>Object(y) &amp; Surface(z) -&gt; BehindOf(z,y))</w:t>
      </w:r>
    </w:p>
    <w:p w14:paraId="4435F17C" w14:textId="647DF836" w:rsidR="009B1A82" w:rsidRPr="00003009" w:rsidRDefault="009B1A82" w:rsidP="00A97EA0">
      <w:pPr>
        <w:jc w:val="center"/>
        <w:rPr>
          <w:color w:val="000000" w:themeColor="text1"/>
          <w:lang w:val="fr-FR"/>
        </w:rPr>
      </w:pPr>
    </w:p>
    <w:p w14:paraId="4FA82B79" w14:textId="26B97193" w:rsidR="009B1A82" w:rsidRDefault="009B1A82" w:rsidP="009B1A82">
      <w:pPr>
        <w:rPr>
          <w:color w:val="000000" w:themeColor="text1"/>
        </w:rPr>
      </w:pPr>
      <w:r>
        <w:rPr>
          <w:color w:val="000000" w:themeColor="text1"/>
        </w:rPr>
        <w:t>We ensure that there is an object that has a surface behind it (to cast a shadow onto).</w:t>
      </w:r>
    </w:p>
    <w:p w14:paraId="796A6005" w14:textId="19C3E9B7" w:rsidR="00A97EA0" w:rsidRDefault="00A97EA0" w:rsidP="00A97EA0">
      <w:pPr>
        <w:rPr>
          <w:color w:val="000000" w:themeColor="text1"/>
        </w:rPr>
      </w:pPr>
    </w:p>
    <w:p w14:paraId="0BE9C4BC" w14:textId="3BA58070" w:rsidR="009B1A82" w:rsidRPr="00003009" w:rsidRDefault="009B1A82" w:rsidP="009B1A82">
      <w:pPr>
        <w:jc w:val="center"/>
        <w:rPr>
          <w:color w:val="000000" w:themeColor="text1"/>
          <w:lang w:val="fr-FR"/>
        </w:rPr>
      </w:pPr>
      <w:r w:rsidRPr="00003009">
        <w:rPr>
          <w:color w:val="000000" w:themeColor="text1"/>
          <w:lang w:val="fr-FR"/>
        </w:rPr>
        <w:t>Exists x Exists y (LightSource(x) &amp; Object(y) -&gt; Obscures(y,x))</w:t>
      </w:r>
    </w:p>
    <w:p w14:paraId="06406CAB" w14:textId="77777777" w:rsidR="00032672" w:rsidRPr="00003009" w:rsidRDefault="00032672" w:rsidP="009B1A82">
      <w:pPr>
        <w:rPr>
          <w:color w:val="000000" w:themeColor="text1"/>
          <w:lang w:val="fr-FR"/>
        </w:rPr>
      </w:pPr>
    </w:p>
    <w:p w14:paraId="34E0A65C" w14:textId="0E203FE8" w:rsidR="009B1A82" w:rsidRDefault="009B1A82" w:rsidP="009B1A82">
      <w:pPr>
        <w:rPr>
          <w:color w:val="000000" w:themeColor="text1"/>
        </w:rPr>
      </w:pPr>
      <w:r>
        <w:rPr>
          <w:color w:val="000000" w:themeColor="text1"/>
        </w:rPr>
        <w:t xml:space="preserve">There is an object that </w:t>
      </w:r>
      <w:r w:rsidR="00032672">
        <w:rPr>
          <w:color w:val="000000" w:themeColor="text1"/>
        </w:rPr>
        <w:t>obscures a light source.</w:t>
      </w:r>
    </w:p>
    <w:p w14:paraId="3DBE7C63" w14:textId="77777777" w:rsidR="00032672" w:rsidRDefault="00032672" w:rsidP="009B1A82">
      <w:pPr>
        <w:rPr>
          <w:color w:val="000000" w:themeColor="text1"/>
        </w:rPr>
      </w:pPr>
    </w:p>
    <w:p w14:paraId="4CAF8D15" w14:textId="7095973D" w:rsidR="005B56D0" w:rsidRDefault="00A97EA0" w:rsidP="005B56D0">
      <w:pPr>
        <w:jc w:val="center"/>
        <w:rPr>
          <w:color w:val="000000" w:themeColor="text1"/>
        </w:rPr>
      </w:pPr>
      <w:r>
        <w:rPr>
          <w:color w:val="000000" w:themeColor="text1"/>
        </w:rPr>
        <w:t xml:space="preserve">All x All y All z (LightSource(x) &amp; Object(y) &amp; Surface(z) &amp; </w:t>
      </w:r>
      <w:r w:rsidR="009B1A82">
        <w:rPr>
          <w:color w:val="000000" w:themeColor="text1"/>
        </w:rPr>
        <w:t>BehindOf(z,y) &amp; Obscures</w:t>
      </w:r>
      <w:r w:rsidR="005B56D0">
        <w:rPr>
          <w:color w:val="000000" w:themeColor="text1"/>
        </w:rPr>
        <w:t>(</w:t>
      </w:r>
      <w:r>
        <w:rPr>
          <w:color w:val="000000" w:themeColor="text1"/>
        </w:rPr>
        <w:t>y</w:t>
      </w:r>
      <w:r w:rsidR="005B56D0">
        <w:rPr>
          <w:color w:val="000000" w:themeColor="text1"/>
        </w:rPr>
        <w:t>,</w:t>
      </w:r>
      <w:r>
        <w:rPr>
          <w:color w:val="000000" w:themeColor="text1"/>
        </w:rPr>
        <w:t>x</w:t>
      </w:r>
      <w:r w:rsidR="005B56D0">
        <w:rPr>
          <w:color w:val="000000" w:themeColor="text1"/>
        </w:rPr>
        <w:t>) -&gt; CastShadow(</w:t>
      </w:r>
      <w:r>
        <w:rPr>
          <w:color w:val="000000" w:themeColor="text1"/>
        </w:rPr>
        <w:t>y</w:t>
      </w:r>
      <w:r w:rsidR="005B56D0">
        <w:rPr>
          <w:color w:val="000000" w:themeColor="text1"/>
        </w:rPr>
        <w:t>,z)</w:t>
      </w:r>
      <w:r>
        <w:rPr>
          <w:color w:val="000000" w:themeColor="text1"/>
        </w:rPr>
        <w:t>)</w:t>
      </w:r>
    </w:p>
    <w:p w14:paraId="515CA155" w14:textId="23EB9340" w:rsidR="00A97EA0" w:rsidRDefault="00A97EA0" w:rsidP="00A97EA0">
      <w:pPr>
        <w:rPr>
          <w:color w:val="000000" w:themeColor="text1"/>
        </w:rPr>
      </w:pPr>
    </w:p>
    <w:p w14:paraId="1F7CB94C" w14:textId="35AA5937" w:rsidR="00A97EA0" w:rsidRDefault="00A97EA0" w:rsidP="00A97EA0">
      <w:pPr>
        <w:rPr>
          <w:color w:val="000000" w:themeColor="text1"/>
        </w:rPr>
      </w:pPr>
      <w:r>
        <w:rPr>
          <w:color w:val="000000" w:themeColor="text1"/>
        </w:rPr>
        <w:t>If there is a light source, an object, a surface</w:t>
      </w:r>
      <w:r w:rsidR="00032672">
        <w:rPr>
          <w:color w:val="000000" w:themeColor="text1"/>
        </w:rPr>
        <w:t xml:space="preserve">, </w:t>
      </w:r>
      <w:r w:rsidR="00762DCD">
        <w:rPr>
          <w:color w:val="000000" w:themeColor="text1"/>
        </w:rPr>
        <w:t>the surface is behind the object,</w:t>
      </w:r>
      <w:r>
        <w:rPr>
          <w:color w:val="000000" w:themeColor="text1"/>
        </w:rPr>
        <w:t xml:space="preserve"> and the object is in front of the light source then the object will cast a shadow on the surface.</w:t>
      </w:r>
    </w:p>
    <w:p w14:paraId="4805DC91" w14:textId="77777777" w:rsidR="00A97EA0" w:rsidRDefault="00A97EA0" w:rsidP="00A97EA0">
      <w:pPr>
        <w:rPr>
          <w:color w:val="000000" w:themeColor="text1"/>
        </w:rPr>
      </w:pPr>
    </w:p>
    <w:p w14:paraId="1F8557CE" w14:textId="77777777" w:rsidR="00762DCD" w:rsidRDefault="00762DCD" w:rsidP="00762DCD">
      <w:pPr>
        <w:jc w:val="center"/>
        <w:rPr>
          <w:color w:val="000000" w:themeColor="text1"/>
        </w:rPr>
      </w:pPr>
      <w:r>
        <w:rPr>
          <w:color w:val="000000" w:themeColor="text1"/>
        </w:rPr>
        <w:t xml:space="preserve">All x All y All z (LightSource(x) &amp; Object(y) &amp; Surface(z) &amp; BehindOf(z,y) &amp; -Obscures(y,x) -&gt; </w:t>
      </w:r>
    </w:p>
    <w:p w14:paraId="3C273D58" w14:textId="5986400B" w:rsidR="00762DCD" w:rsidRDefault="00762DCD" w:rsidP="00762DCD">
      <w:pPr>
        <w:jc w:val="center"/>
        <w:rPr>
          <w:color w:val="000000" w:themeColor="text1"/>
        </w:rPr>
      </w:pPr>
      <w:r>
        <w:rPr>
          <w:color w:val="000000" w:themeColor="text1"/>
        </w:rPr>
        <w:t>-CastShadow(y,z))</w:t>
      </w:r>
    </w:p>
    <w:p w14:paraId="0E53C768" w14:textId="3F15995A" w:rsidR="00762DCD" w:rsidRDefault="00762DCD" w:rsidP="00762DCD">
      <w:pPr>
        <w:jc w:val="center"/>
        <w:rPr>
          <w:color w:val="000000" w:themeColor="text1"/>
        </w:rPr>
      </w:pPr>
    </w:p>
    <w:p w14:paraId="3AA8F0DB" w14:textId="21EA0841" w:rsidR="00762DCD" w:rsidRDefault="00762DCD" w:rsidP="00762DCD">
      <w:pPr>
        <w:rPr>
          <w:color w:val="000000" w:themeColor="text1"/>
        </w:rPr>
      </w:pPr>
      <w:r>
        <w:rPr>
          <w:color w:val="000000" w:themeColor="text1"/>
        </w:rPr>
        <w:t xml:space="preserve">Similarly, if there is a light source, an object, a surface, the surface is behind the object, but the object is </w:t>
      </w:r>
      <w:r w:rsidRPr="00762DCD">
        <w:rPr>
          <w:b/>
          <w:bCs/>
          <w:color w:val="000000" w:themeColor="text1"/>
        </w:rPr>
        <w:t>not</w:t>
      </w:r>
      <w:r>
        <w:rPr>
          <w:color w:val="000000" w:themeColor="text1"/>
        </w:rPr>
        <w:t xml:space="preserve"> in front of the light source then the object will </w:t>
      </w:r>
      <w:r w:rsidRPr="00762DCD">
        <w:rPr>
          <w:b/>
          <w:bCs/>
          <w:color w:val="000000" w:themeColor="text1"/>
        </w:rPr>
        <w:t>not</w:t>
      </w:r>
      <w:r>
        <w:rPr>
          <w:color w:val="000000" w:themeColor="text1"/>
        </w:rPr>
        <w:t xml:space="preserve"> cast a shadow on the surface.</w:t>
      </w:r>
    </w:p>
    <w:p w14:paraId="03C8B65B" w14:textId="177B6904" w:rsidR="00A97EA0" w:rsidRDefault="00A97EA0" w:rsidP="00A97EA0">
      <w:pPr>
        <w:jc w:val="center"/>
        <w:rPr>
          <w:color w:val="000000" w:themeColor="text1"/>
        </w:rPr>
      </w:pPr>
    </w:p>
    <w:p w14:paraId="4D6C757A" w14:textId="7D4CC7DE" w:rsidR="00762DCD" w:rsidRDefault="00762DCD" w:rsidP="00762DCD">
      <w:pPr>
        <w:jc w:val="center"/>
        <w:rPr>
          <w:color w:val="000000" w:themeColor="text1"/>
        </w:rPr>
      </w:pPr>
      <w:r>
        <w:rPr>
          <w:color w:val="000000" w:themeColor="text1"/>
        </w:rPr>
        <w:t xml:space="preserve">All x All y All z (LightSource(x) &amp; Object(y) &amp; Surface(z) &amp; -BehindOf(z,y) &amp; Obscures(y,x) -&gt; </w:t>
      </w:r>
    </w:p>
    <w:p w14:paraId="54E39645" w14:textId="77777777" w:rsidR="00762DCD" w:rsidRDefault="00762DCD" w:rsidP="00762DCD">
      <w:pPr>
        <w:jc w:val="center"/>
        <w:rPr>
          <w:color w:val="000000" w:themeColor="text1"/>
        </w:rPr>
      </w:pPr>
      <w:r>
        <w:rPr>
          <w:color w:val="000000" w:themeColor="text1"/>
        </w:rPr>
        <w:t>-CastShadow(y,z))</w:t>
      </w:r>
    </w:p>
    <w:p w14:paraId="74787D51" w14:textId="62614EB4" w:rsidR="00762DCD" w:rsidRDefault="00762DCD" w:rsidP="00A97EA0">
      <w:pPr>
        <w:jc w:val="center"/>
        <w:rPr>
          <w:color w:val="000000" w:themeColor="text1"/>
        </w:rPr>
      </w:pPr>
    </w:p>
    <w:p w14:paraId="746E979C" w14:textId="7F31E1A1" w:rsidR="006D5715" w:rsidRPr="00762DCD" w:rsidRDefault="00762DCD" w:rsidP="006D5715">
      <w:pPr>
        <w:rPr>
          <w:color w:val="000000" w:themeColor="text1"/>
        </w:rPr>
      </w:pPr>
      <w:r>
        <w:rPr>
          <w:color w:val="000000" w:themeColor="text1"/>
        </w:rPr>
        <w:t>Again, if there is a light source, an object, a surface, the object is in front of the light source, but</w:t>
      </w:r>
      <w:r w:rsidRPr="00762DCD">
        <w:rPr>
          <w:color w:val="000000" w:themeColor="text1"/>
        </w:rPr>
        <w:t xml:space="preserve"> </w:t>
      </w:r>
      <w:r>
        <w:rPr>
          <w:color w:val="000000" w:themeColor="text1"/>
        </w:rPr>
        <w:t xml:space="preserve">the surface is </w:t>
      </w:r>
      <w:r w:rsidRPr="00762DCD">
        <w:rPr>
          <w:b/>
          <w:bCs/>
          <w:color w:val="000000" w:themeColor="text1"/>
        </w:rPr>
        <w:t>not</w:t>
      </w:r>
      <w:r>
        <w:rPr>
          <w:color w:val="000000" w:themeColor="text1"/>
        </w:rPr>
        <w:t xml:space="preserve"> behind the object then the object will </w:t>
      </w:r>
      <w:r w:rsidRPr="00762DCD">
        <w:rPr>
          <w:b/>
          <w:bCs/>
          <w:color w:val="000000" w:themeColor="text1"/>
        </w:rPr>
        <w:t>not</w:t>
      </w:r>
      <w:r>
        <w:rPr>
          <w:color w:val="000000" w:themeColor="text1"/>
        </w:rPr>
        <w:t xml:space="preserve"> cast a shadow on the surface.</w:t>
      </w:r>
    </w:p>
    <w:p w14:paraId="3749F2EB" w14:textId="75D6B151" w:rsidR="00092092" w:rsidRDefault="00A95E5B" w:rsidP="00EF14F4">
      <w:pPr>
        <w:pStyle w:val="Heading1"/>
      </w:pPr>
      <w:r w:rsidRPr="00A95E5B">
        <w:lastRenderedPageBreak/>
        <w:t>Co</w:t>
      </w:r>
      <w:r w:rsidR="008E147B">
        <w:t>n</w:t>
      </w:r>
      <w:r w:rsidRPr="00A95E5B">
        <w:t>clusion</w:t>
      </w:r>
    </w:p>
    <w:p w14:paraId="2A3CB98A" w14:textId="77777777" w:rsidR="006D5715" w:rsidRDefault="006D5715" w:rsidP="00EF14F4"/>
    <w:p w14:paraId="5AB308F0" w14:textId="55F7F8F7" w:rsidR="00EF14F4" w:rsidRPr="006D5715" w:rsidRDefault="006D5715" w:rsidP="00EF14F4">
      <w:pPr>
        <w:rPr>
          <w:b/>
          <w:bCs/>
        </w:rPr>
      </w:pPr>
      <w:r w:rsidRPr="006D5715">
        <w:rPr>
          <w:b/>
          <w:bCs/>
        </w:rPr>
        <w:t>Word Count:</w:t>
      </w:r>
      <w:r>
        <w:rPr>
          <w:b/>
          <w:bCs/>
        </w:rPr>
        <w:t xml:space="preserve"> </w:t>
      </w:r>
      <w:r w:rsidR="00205EB3">
        <w:rPr>
          <w:b/>
          <w:bCs/>
        </w:rPr>
        <w:t>912</w:t>
      </w:r>
    </w:p>
    <w:p w14:paraId="15F58CAC" w14:textId="77777777" w:rsidR="006D5715" w:rsidRPr="00EF14F4" w:rsidRDefault="006D5715" w:rsidP="00EF14F4"/>
    <w:p w14:paraId="4524FE31" w14:textId="7CE1E451" w:rsidR="00EA0A8A" w:rsidRDefault="00EA0A8A" w:rsidP="00EA0A8A">
      <w:pPr>
        <w:rPr>
          <w:rFonts w:ascii="Calibri" w:hAnsi="Calibri" w:cs="Calibri"/>
        </w:rPr>
      </w:pPr>
      <w:r>
        <w:rPr>
          <w:rFonts w:ascii="Calibri" w:hAnsi="Calibri" w:cs="Calibri"/>
        </w:rPr>
        <w:t>Using the first-order logic approach with facts and inference rules (using example 1 above to illustrate)</w:t>
      </w:r>
      <w:r w:rsidR="002F4C29">
        <w:rPr>
          <w:rFonts w:ascii="Calibri" w:hAnsi="Calibri" w:cs="Calibri"/>
        </w:rPr>
        <w:t xml:space="preserve"> and </w:t>
      </w:r>
      <w:r>
        <w:rPr>
          <w:rFonts w:ascii="Calibri" w:hAnsi="Calibri" w:cs="Calibri"/>
        </w:rPr>
        <w:t>running these rules through an automated system for solving theorems</w:t>
      </w:r>
      <w:r w:rsidR="00A831B8">
        <w:rPr>
          <w:rFonts w:ascii="Calibri" w:hAnsi="Calibri" w:cs="Calibri"/>
        </w:rPr>
        <w:t xml:space="preserve"> - </w:t>
      </w:r>
      <w:r>
        <w:rPr>
          <w:rFonts w:ascii="Calibri" w:hAnsi="Calibri" w:cs="Calibri"/>
        </w:rPr>
        <w:t>such as Prover9</w:t>
      </w:r>
      <w:r w:rsidR="00A831B8">
        <w:rPr>
          <w:rFonts w:ascii="Calibri" w:hAnsi="Calibri" w:cs="Calibri"/>
        </w:rPr>
        <w:t xml:space="preserve"> - </w:t>
      </w:r>
      <w:r>
        <w:rPr>
          <w:rFonts w:ascii="Calibri" w:hAnsi="Calibri" w:cs="Calibri"/>
        </w:rPr>
        <w:t>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xml:space="preserve">. One of the reasons this approach works well is that it allows the ability to successfully capture relations between objects and express information about a large domain in a compact way </w:t>
      </w:r>
      <w:r w:rsidR="00326AAF">
        <w:t>(</w:t>
      </w:r>
      <w:r w:rsidR="00326AAF" w:rsidRPr="00326AAF">
        <w:rPr>
          <w:rFonts w:ascii="Calibri" w:hAnsi="Calibri" w:cs="Calibri"/>
        </w:rPr>
        <w:t>Grosan</w:t>
      </w:r>
      <w:r w:rsidR="00701C13">
        <w:rPr>
          <w:rFonts w:ascii="Calibri" w:hAnsi="Calibri" w:cs="Calibri"/>
        </w:rPr>
        <w:t xml:space="preserve"> </w:t>
      </w:r>
      <w:r w:rsidR="00326AAF" w:rsidRPr="00326AAF">
        <w:rPr>
          <w:rFonts w:ascii="Calibri" w:hAnsi="Calibri" w:cs="Calibri"/>
        </w:rPr>
        <w:t>C. and Abraham</w:t>
      </w:r>
      <w:r w:rsidR="00701C13">
        <w:rPr>
          <w:rFonts w:ascii="Calibri" w:hAnsi="Calibri" w:cs="Calibri"/>
        </w:rPr>
        <w:t xml:space="preserve"> </w:t>
      </w:r>
      <w:r w:rsidR="00326AAF" w:rsidRPr="00326AAF">
        <w:rPr>
          <w:rFonts w:ascii="Calibri" w:hAnsi="Calibri" w:cs="Calibri"/>
        </w:rPr>
        <w:t>A. 2011</w:t>
      </w:r>
      <w:r w:rsidR="00635958">
        <w:rPr>
          <w:rFonts w:ascii="Calibri" w:hAnsi="Calibri" w:cs="Calibri"/>
        </w:rPr>
        <w:t>, Richard-Bollans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13C70B14" w:rsidR="00EA0A8A" w:rsidRDefault="00EA0A8A" w:rsidP="00EA0A8A">
      <w:pPr>
        <w:rPr>
          <w:rFonts w:ascii="Calibri" w:hAnsi="Calibri" w:cs="Calibri"/>
        </w:rPr>
      </w:pPr>
      <w:r>
        <w:rPr>
          <w:rFonts w:ascii="Calibri" w:hAnsi="Calibri" w:cs="Calibri"/>
        </w:rPr>
        <w:t xml:space="preserve">However, even though encoding this knowledge base could prove successful for this one example, this approach does not come without limitations. Firstly, the monotonic reasoning of this approach in general risks incomplete information and so may prove insufficient </w:t>
      </w:r>
      <w:r w:rsidR="0061132C">
        <w:t>(</w:t>
      </w:r>
      <w:r w:rsidR="0061132C" w:rsidRPr="00326AAF">
        <w:rPr>
          <w:rFonts w:ascii="Calibri" w:hAnsi="Calibri" w:cs="Calibri"/>
        </w:rPr>
        <w:t>Grosan C. and Abraham A. 2011</w:t>
      </w:r>
      <w:r w:rsidR="0061132C">
        <w:rPr>
          <w:rFonts w:ascii="Calibri" w:hAnsi="Calibri" w:cs="Calibri"/>
        </w:rPr>
        <w:t>)</w:t>
      </w:r>
      <w:r w:rsidR="0061132C">
        <w:t xml:space="preserve">. </w:t>
      </w:r>
      <w:r>
        <w:rPr>
          <w:rFonts w:ascii="Calibri" w:hAnsi="Calibri" w:cs="Calibri"/>
        </w:rPr>
        <w:t>Secondly, a computer may have to reason about potentially conflicting information within the same knowledge base. It is restricted to the domain it is given, and therefore wouldn’t perform well with uncertainty</w:t>
      </w:r>
      <w:r w:rsidR="00FD7288">
        <w:rPr>
          <w:rFonts w:ascii="Calibri" w:hAnsi="Calibri" w:cs="Calibri"/>
        </w:rPr>
        <w:t xml:space="preserve"> (</w:t>
      </w:r>
      <w:r w:rsidR="00FD7288" w:rsidRPr="00C54DD5">
        <w:rPr>
          <w:rFonts w:ascii="Calibri" w:hAnsi="Calibri" w:cs="Calibri"/>
        </w:rPr>
        <w:t>Davis E. and Marcus G. 2015</w:t>
      </w:r>
      <w:r w:rsidR="00FD7288">
        <w:rPr>
          <w:rFonts w:ascii="Calibri" w:hAnsi="Calibri" w:cs="Calibri"/>
        </w:rPr>
        <w:t>)</w:t>
      </w:r>
      <w:r>
        <w:rPr>
          <w:rFonts w:ascii="Calibri" w:hAnsi="Calibri" w:cs="Calibri"/>
        </w:rPr>
        <w:t xml:space="preserve">.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r>
        <w:rPr>
          <w:rFonts w:ascii="Calibri" w:hAnsi="Calibri" w:cs="Calibri"/>
        </w:rPr>
        <w:t>Besnard P. 1989). For example, in 1 above, expressing the extent of resemblance may be more accurate. Lemons do not look exactly like light bulbs, and so a greater level of precision could be useful for capturing resemblance</w:t>
      </w:r>
      <w:r w:rsidR="006D5F32">
        <w:rPr>
          <w:rFonts w:ascii="Calibri" w:hAnsi="Calibri" w:cs="Calibri"/>
        </w:rPr>
        <w:t xml:space="preserve"> (Bennett B. 1998)</w:t>
      </w:r>
      <w:r>
        <w:rPr>
          <w:rFonts w:ascii="Calibri" w:hAnsi="Calibri" w:cs="Calibri"/>
        </w:rPr>
        <w:t>. Many similar problems could be found in the other Winograd schemas due to the complex, nuanced nature of language</w:t>
      </w:r>
      <w:r w:rsidR="004B3EBC">
        <w:rPr>
          <w:rFonts w:ascii="Calibri" w:hAnsi="Calibri" w:cs="Calibri"/>
        </w:rPr>
        <w:t xml:space="preserve"> (Richard-Bollans A. et al 2018)</w:t>
      </w:r>
      <w:r>
        <w:rPr>
          <w:rFonts w:ascii="Calibri" w:hAnsi="Calibri" w:cs="Calibri"/>
        </w:rPr>
        <w:t xml:space="preserve">. </w:t>
      </w:r>
    </w:p>
    <w:p w14:paraId="16822DC5" w14:textId="77777777" w:rsidR="00EA0A8A" w:rsidRDefault="00EA0A8A" w:rsidP="00EF14F4"/>
    <w:p w14:paraId="2339BE11" w14:textId="21943AB1" w:rsidR="00A70280" w:rsidRPr="00EF14F4" w:rsidRDefault="00A70280" w:rsidP="00EF14F4">
      <w:r w:rsidRPr="00EF14F4">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6152267D"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00F85562">
        <w:instrText xml:space="preserve"> ADDIN EN.CITE &lt;EndNote&gt;&lt;Cite&gt;&lt;Author&gt;Isaak&lt;/Author&gt;&lt;Year&gt;2020&lt;/Year&gt;&lt;RecNum&gt;21&lt;/RecNum&gt;&lt;DisplayText&gt;(Isaak and Michael, 2020)&lt;/DisplayText&gt;&lt;record&gt;&lt;rec-number&gt;21&lt;/rec-number&gt;&lt;foreign-keys&gt;&lt;key app="EN" db-id="vwvzxetr0zsrzlez204xvsek09e9v9r2a9r2" timestamp="1607101061" guid="58c05e4a-ad5c-45e9-956d-6c2143ba47d5"&gt;21&lt;/key&gt;&lt;/foreign-keys&gt;&lt;ref-type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00F85562">
        <w:rPr>
          <w:noProof/>
        </w:rPr>
        <w:t>(</w:t>
      </w:r>
      <w:hyperlink w:anchor="_ENREF_3" w:tooltip="Isaak, 2020 #21" w:history="1">
        <w:r w:rsidR="003A6655">
          <w:rPr>
            <w:noProof/>
          </w:rPr>
          <w:t>Isaak and Michael, 2020</w:t>
        </w:r>
      </w:hyperlink>
      <w:r w:rsidR="00F85562">
        <w:rPr>
          <w:noProof/>
        </w:rPr>
        <w:t>)</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381BC796" w:rsidR="00AE2BD9" w:rsidRDefault="00124C06" w:rsidP="00AE2BD9">
      <w:pPr>
        <w:rPr>
          <w:rFonts w:ascii="Calibri" w:hAnsi="Calibri" w:cs="Calibri"/>
        </w:rPr>
      </w:pPr>
      <w:r>
        <w:rPr>
          <w:rFonts w:ascii="Calibri" w:hAnsi="Calibri" w:cs="Calibri"/>
        </w:rPr>
        <w:t>Furthermore</w:t>
      </w:r>
      <w:r w:rsidR="00AE2BD9">
        <w:rPr>
          <w:rFonts w:ascii="Calibri" w:hAnsi="Calibri" w:cs="Calibri"/>
        </w:rPr>
        <w:t xml:space="preserve">, it should be noted that the KRR approach as a whole is limited. Logic rules rarely correspond </w:t>
      </w:r>
      <w:r w:rsidR="00712B06">
        <w:rPr>
          <w:rFonts w:ascii="Calibri" w:hAnsi="Calibri" w:cs="Calibri"/>
        </w:rPr>
        <w:t xml:space="preserve">well </w:t>
      </w:r>
      <w:r w:rsidR="00AE2BD9">
        <w:rPr>
          <w:rFonts w:ascii="Calibri" w:hAnsi="Calibri" w:cs="Calibri"/>
        </w:rPr>
        <w:t xml:space="preserve">to human thought processes, and so a computer may appear to be ‘thinking’ like a human, but really be following none of the same processes (the human </w:t>
      </w:r>
      <w:r w:rsidR="00AE2BD9">
        <w:rPr>
          <w:rFonts w:ascii="Calibri" w:hAnsi="Calibri" w:cs="Calibri"/>
        </w:rPr>
        <w:lastRenderedPageBreak/>
        <w:t>brain processes information in myriad ways, often building on experience and context</w:t>
      </w:r>
      <w:r w:rsidR="00E15FF8">
        <w:rPr>
          <w:rFonts w:ascii="Calibri" w:hAnsi="Calibri" w:cs="Calibri"/>
        </w:rPr>
        <w:t>, which are extremely difficult to automate</w:t>
      </w:r>
      <w:r w:rsidR="00AE2BD9">
        <w:rPr>
          <w:rFonts w:ascii="Calibri" w:hAnsi="Calibri" w:cs="Calibri"/>
        </w:rPr>
        <w:t>) (Dranovsky A. 2011</w:t>
      </w:r>
      <w:r w:rsidR="009367AC">
        <w:rPr>
          <w:rFonts w:ascii="Calibri" w:hAnsi="Calibri" w:cs="Calibri"/>
        </w:rPr>
        <w:t xml:space="preserve">, </w:t>
      </w:r>
      <w:r w:rsidR="009367AC" w:rsidRPr="00C54DD5">
        <w:rPr>
          <w:rFonts w:ascii="Calibri" w:hAnsi="Calibri" w:cs="Calibri"/>
        </w:rPr>
        <w:t>Davis E. and Marcus G. 2015</w:t>
      </w:r>
      <w:r w:rsidR="00AE2BD9">
        <w:rPr>
          <w:rFonts w:ascii="Calibri" w:hAnsi="Calibri" w:cs="Calibri"/>
        </w:rPr>
        <w:t>). Additionally, this approach is not generalisable from one rule to the next: a whole new set of rules is required for each Winograd schema, rendering this approach tedious and inefficient</w:t>
      </w:r>
      <w:r w:rsidR="00EA65E2">
        <w:rPr>
          <w:rFonts w:ascii="Calibri" w:hAnsi="Calibri" w:cs="Calibri"/>
        </w:rPr>
        <w:t xml:space="preserve"> (</w:t>
      </w:r>
      <w:r w:rsidR="00EA65E2" w:rsidRPr="00C54DD5">
        <w:rPr>
          <w:rFonts w:ascii="Calibri" w:hAnsi="Calibri" w:cs="Calibri"/>
        </w:rPr>
        <w:t>Davis E. and Marcus G. 2015</w:t>
      </w:r>
      <w:r w:rsidR="00EA65E2">
        <w:rPr>
          <w:rFonts w:ascii="Calibri" w:hAnsi="Calibri" w:cs="Calibri"/>
        </w:rPr>
        <w:t>).</w:t>
      </w:r>
      <w:r w:rsidR="00AE2BD9">
        <w:rPr>
          <w:rFonts w:ascii="Calibri" w:hAnsi="Calibri" w:cs="Calibri"/>
        </w:rPr>
        <w:t xml:space="preserve"> </w:t>
      </w:r>
    </w:p>
    <w:p w14:paraId="68A6CCE0" w14:textId="77777777" w:rsidR="00AE2BD9" w:rsidRDefault="00AE2BD9" w:rsidP="00AE2BD9">
      <w:pPr>
        <w:rPr>
          <w:rFonts w:ascii="Calibri" w:hAnsi="Calibri" w:cs="Calibri"/>
        </w:rPr>
      </w:pPr>
    </w:p>
    <w:p w14:paraId="53C96188" w14:textId="37ED17CA"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00F85562">
        <w:instrText xml:space="preserve"> ADDIN EN.CITE &lt;EndNote&gt;&lt;Cite&gt;&lt;Author&gt;Chakraborty&lt;/Author&gt;&lt;Year&gt;2007&lt;/Year&gt;&lt;RecNum&gt;25&lt;/RecNum&gt;&lt;DisplayText&gt;(Chakraborty and Sundararajan, 2007)&lt;/DisplayText&gt;&lt;record&gt;&lt;rec-number&gt;25&lt;/rec-number&gt;&lt;foreign-keys&gt;&lt;key app="EN" db-id="vwvzxetr0zsrzlez204xvsek09e9v9r2a9r2" timestamp="1607102182" guid="60b23ea8-ad24-4164-aecf-e6412337d38c"&gt;25&lt;/key&gt;&lt;/foreign-keys&gt;&lt;ref-type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00F85562">
        <w:rPr>
          <w:noProof/>
        </w:rPr>
        <w:t>(</w:t>
      </w:r>
      <w:hyperlink w:anchor="_ENREF_1" w:tooltip="Chakraborty, 2007 #25" w:history="1">
        <w:r w:rsidR="003A6655">
          <w:rPr>
            <w:noProof/>
          </w:rPr>
          <w:t>Chakraborty and Sundararajan, 2007</w:t>
        </w:r>
      </w:hyperlink>
      <w:r w:rsidR="00F85562">
        <w:rPr>
          <w:noProof/>
        </w:rPr>
        <w:t>)</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00F85562">
        <w:instrText xml:space="preserve"> ADDIN EN.CITE &lt;EndNote&gt;&lt;Cite&gt;&lt;Author&gt;Zhang&lt;/Author&gt;&lt;Year&gt;2018&lt;/Year&gt;&lt;RecNum&gt;26&lt;/RecNum&gt;&lt;DisplayText&gt;(Zhang et al., 2018)&lt;/DisplayText&gt;&lt;record&gt;&lt;rec-number&gt;26&lt;/rec-number&gt;&lt;foreign-keys&gt;&lt;key app="EN" db-id="vwvzxetr0zsrzlez204xvsek09e9v9r2a9r2" timestamp="1607102182" guid="57649b1d-e382-4845-a963-4e8b2222353d"&gt;26&lt;/key&gt;&lt;/foreign-keys&gt;&lt;ref-type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00F85562">
        <w:rPr>
          <w:noProof/>
        </w:rPr>
        <w:t>(</w:t>
      </w:r>
      <w:hyperlink w:anchor="_ENREF_9" w:tooltip="Zhang, 2018 #26" w:history="1">
        <w:r w:rsidR="003A6655">
          <w:rPr>
            <w:noProof/>
          </w:rPr>
          <w:t>Zhang et al., 2018</w:t>
        </w:r>
      </w:hyperlink>
      <w:r w:rsidR="00F85562">
        <w:rPr>
          <w:noProof/>
        </w:rPr>
        <w:t>)</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commonsense knowledge; however, such techniques do not incorporate inference methodically like KRR techniques do and </w:t>
      </w:r>
      <w:r w:rsidR="005212A7">
        <w:rPr>
          <w:rFonts w:ascii="Calibri" w:hAnsi="Calibri" w:cs="Calibri"/>
        </w:rPr>
        <w:t xml:space="preserve">often </w:t>
      </w:r>
      <w:r w:rsidR="00AE2BD9">
        <w:rPr>
          <w:rFonts w:ascii="Calibri" w:hAnsi="Calibri" w:cs="Calibri"/>
        </w:rPr>
        <w:t>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Richard-Bollans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673610" w:rsidRPr="00673610">
        <w:rPr>
          <w:rFonts w:ascii="Calibri" w:hAnsi="Calibri" w:cs="Calibri"/>
        </w:rPr>
        <w:t>Rahman A. and Ng V. 2012</w:t>
      </w:r>
      <w:r w:rsidR="00584A07">
        <w:rPr>
          <w:rFonts w:ascii="Calibri" w:hAnsi="Calibri" w:cs="Calibri"/>
        </w:rPr>
        <w:t xml:space="preserve">, </w:t>
      </w:r>
      <w:r w:rsidR="00CC377E" w:rsidRPr="00C54DD5">
        <w:rPr>
          <w:rFonts w:ascii="Calibri" w:hAnsi="Calibri" w:cs="Calibri"/>
        </w:rPr>
        <w:t>Richard-Bollans A.</w:t>
      </w:r>
      <w:r w:rsidR="00CC377E">
        <w:rPr>
          <w:rFonts w:ascii="Calibri" w:hAnsi="Calibri" w:cs="Calibri"/>
        </w:rPr>
        <w:t xml:space="preserve"> et al 2018).</w:t>
      </w:r>
    </w:p>
    <w:p w14:paraId="74D8BBE3" w14:textId="44A5CDCF" w:rsidR="00961775" w:rsidRDefault="00961775" w:rsidP="00961775"/>
    <w:p w14:paraId="3001BE24" w14:textId="4CC64AC8" w:rsidR="00AE1536" w:rsidRDefault="00961775" w:rsidP="00961775">
      <w:r>
        <w:t>To data no system has achieved an accuracy of 90% or above on the COPA dataset.</w:t>
      </w:r>
      <w:r w:rsidR="00AE1536">
        <w:t xml:space="preserve"> However, the dataset has inspired many novel approaches to solving commonsense reasoning tasks. The dataset has been adapted for use in computer vision to develop desirable reasoning ability in the ultimate striving goal for human-like intelligence</w:t>
      </w:r>
      <w:r w:rsidR="00F30967">
        <w:t>, while others developed new approaches (e.g., neural encoder-decoder)</w:t>
      </w:r>
      <w:r w:rsidR="00205EB3">
        <w:t xml:space="preserve"> </w:t>
      </w:r>
      <w:r w:rsidR="003A6655">
        <w:fldChar w:fldCharType="begin"/>
      </w:r>
      <w:r w:rsidR="003A6655">
        <w:instrText xml:space="preserve"> ADDIN EN.CITE &lt;EndNote&gt;&lt;Cite&gt;&lt;Author&gt;Yeo&lt;/Author&gt;&lt;Year&gt;2018&lt;/Year&gt;&lt;RecNum&gt;41&lt;/RecNum&gt;&lt;Suffix&gt;{Roemmele`, 2018 `#40&lt;/Suffix&gt;&lt;DisplayText&gt;(Yeo et al., 2018{Roemmele, 2018 #40)&lt;/DisplayText&gt;&lt;record&gt;&lt;rec-number&gt;41&lt;/rec-number&gt;&lt;foreign-keys&gt;&lt;key app="EN" db-id="vwvzxetr0zsrzlez204xvsek09e9v9r2a9r2" timestamp="1607180051" guid="4e5487d6-158b-4d3a-a097-ce01083d2103"&gt;41&lt;/key&gt;&lt;/foreign-keys&gt;&lt;ref-type name="Conference Proceedings"&gt;10&lt;/ref-type&gt;&lt;contributors&gt;&lt;authors&gt;&lt;author&gt;Yeo, Jinyoung&lt;/author&gt;&lt;author&gt;Lee, Gyeongbok&lt;/author&gt;&lt;author&gt;Wang, Gengyu&lt;/author&gt;&lt;author&gt;Choi, Seungtaek&lt;/author&gt;&lt;author&gt;Cho, Hyunsouk&lt;/author&gt;&lt;author&gt;Kim Amplayo, Reinald&lt;/author&gt;&lt;author&gt;Hwang, Seung-won&lt;/author&gt;&lt;/authors&gt;&lt;/contributors&gt;&lt;titles&gt;&lt;title&gt;Visual Choice of Plausible Alternatives: An Evaluation of Image-based Commonsense Causal Reasoning&lt;/title&gt;&lt;tertiary-title&gt;Proceedings of the Eleventh International Conference on Language Resources and Evaluation (LREC 2018)&lt;/tertiary-title&gt;&lt;/titles&gt;&lt;dates&gt;&lt;year&gt;2018&lt;/year&gt;&lt;pub-dates&gt;&lt;date&gt;may&lt;/date&gt;&lt;/pub-dates&gt;&lt;/dates&gt;&lt;pub-location&gt;Miyazaki, Japan&lt;/pub-location&gt;&lt;publisher&gt;European Language Resources Association (ELRA)&lt;/publisher&gt;&lt;label&gt;yeo-etal-2018-visual&lt;/label&gt;&lt;urls&gt;&lt;related-urls&gt;&lt;url&gt;https://www.aclweb.org/anthology/L18-1316&lt;/url&gt;&lt;/related-urls&gt;&lt;/urls&gt;&lt;/record&gt;&lt;/Cite&gt;&lt;/EndNote&gt;</w:instrText>
      </w:r>
      <w:r w:rsidR="003A6655">
        <w:fldChar w:fldCharType="separate"/>
      </w:r>
      <w:r w:rsidR="003A6655">
        <w:rPr>
          <w:noProof/>
        </w:rPr>
        <w:t>(</w:t>
      </w:r>
      <w:hyperlink w:anchor="_ENREF_8" w:tooltip="Yeo, 2018 #41" w:history="1">
        <w:r w:rsidR="003A6655">
          <w:rPr>
            <w:noProof/>
          </w:rPr>
          <w:t>Yeo et al., 2018{Roemmele, 2018 #40</w:t>
        </w:r>
      </w:hyperlink>
      <w:r w:rsidR="003A6655">
        <w:rPr>
          <w:noProof/>
        </w:rPr>
        <w:t>)</w:t>
      </w:r>
      <w:r w:rsidR="003A6655">
        <w:fldChar w:fldCharType="end"/>
      </w:r>
      <w:r w:rsidR="00205EB3">
        <w:t>}</w:t>
      </w:r>
      <w:r w:rsidR="00F30967">
        <w:t xml:space="preserve">. </w:t>
      </w:r>
    </w:p>
    <w:p w14:paraId="41514DAE" w14:textId="671DF1D0" w:rsidR="00F30967" w:rsidRDefault="00F30967" w:rsidP="00961775"/>
    <w:p w14:paraId="02D29E18" w14:textId="5E4FCC9C" w:rsidR="00F30967" w:rsidRDefault="00F30967" w:rsidP="00961775">
      <w:r>
        <w:t xml:space="preserve">The COPA dataset suffers from a lot of the same drawbacks as the Winograd Schemas </w:t>
      </w:r>
      <w:r w:rsidR="00205EB3">
        <w:t>when approached from a KRR standpoint. The use of KRR may be useful for achieving baseline results that could be built on using other approaches to allow greater flexibility when mimicking commonsense reasoning as there is no one right way to infer the correct answer. Designing systems that are able to demonstrate commonsense reasoning to accurately solve COPA and Winograd Schemas is difficult. This is only made more difficult when designing a system that is able to generalise and not be able to only demonstrate commonsense reasoning in one specific area.</w:t>
      </w:r>
    </w:p>
    <w:p w14:paraId="12216345" w14:textId="77777777" w:rsidR="00AE1536" w:rsidRDefault="00AE1536" w:rsidP="00961775"/>
    <w:p w14:paraId="27D5551E" w14:textId="78E77954" w:rsidR="00961775" w:rsidRPr="00961775" w:rsidRDefault="00AE1536" w:rsidP="00961775">
      <w:r>
        <w:t>While much progress has been made regarding the Winograd Schem</w:t>
      </w:r>
      <w:r w:rsidR="00F30967">
        <w:t>as</w:t>
      </w:r>
      <w:r>
        <w:t xml:space="preserve"> and COPA challenge</w:t>
      </w:r>
      <w:r w:rsidR="00F30967">
        <w:t>s</w:t>
      </w:r>
      <w:r>
        <w:t>, much progress remains to be made</w:t>
      </w:r>
      <w:r w:rsidR="00205EB3">
        <w:t xml:space="preserve"> </w:t>
      </w:r>
      <w:r w:rsidR="003A6655">
        <w:fldChar w:fldCharType="begin"/>
      </w:r>
      <w:r w:rsidR="003A6655">
        <w:instrText xml:space="preserve"> ADDIN EN.CITE &lt;EndNote&gt;&lt;Cite&gt;&lt;Author&gt;Roemmele&lt;/Author&gt;&lt;Year&gt;2018&lt;/Year&gt;&lt;RecNum&gt;40&lt;/RecNum&gt;&lt;DisplayText&gt;(Roemmele and Gordon, 2018)&lt;/DisplayText&gt;&lt;record&gt;&lt;rec-number&gt;40&lt;/rec-number&gt;&lt;foreign-keys&gt;&lt;key app="EN" db-id="vwvzxetr0zsrzlez204xvsek09e9v9r2a9r2" timestamp="1607179828" guid="d8db033c-3265-4b13-917d-50081b830f49"&gt;40&lt;/key&gt;&lt;/foreign-keys&gt;&lt;ref-type name="Book"&gt;6&lt;/ref-type&gt;&lt;contributors&gt;&lt;authors&gt;&lt;author&gt;Roemmele, Melissa&lt;/author&gt;&lt;author&gt;Gordon, Andrew&lt;/author&gt;&lt;/authors&gt;&lt;/contributors&gt;&lt;titles&gt;&lt;title&gt;An Encoder-decoder Approach to Predicting Causal Relations in Stories&lt;/title&gt;&lt;/titles&gt;&lt;pages&gt;50-59&lt;/pages&gt;&lt;dates&gt;&lt;year&gt;2018&lt;/year&gt;&lt;/dates&gt;&lt;urls&gt;&lt;/urls&gt;&lt;electronic-resource-num&gt;10.18653/v1/W18-1506&lt;/electronic-resource-num&gt;&lt;/record&gt;&lt;/Cite&gt;&lt;/EndNote&gt;</w:instrText>
      </w:r>
      <w:r w:rsidR="003A6655">
        <w:fldChar w:fldCharType="separate"/>
      </w:r>
      <w:r w:rsidR="003A6655">
        <w:rPr>
          <w:noProof/>
        </w:rPr>
        <w:t>(</w:t>
      </w:r>
      <w:hyperlink w:anchor="_ENREF_6" w:tooltip="Roemmele, 2018 #40" w:history="1">
        <w:r w:rsidR="003A6655">
          <w:rPr>
            <w:noProof/>
          </w:rPr>
          <w:t>Roemmele and Gordon, 2018</w:t>
        </w:r>
      </w:hyperlink>
      <w:r w:rsidR="003A6655">
        <w:rPr>
          <w:noProof/>
        </w:rPr>
        <w:t>)</w:t>
      </w:r>
      <w:r w:rsidR="003A6655">
        <w:fldChar w:fldCharType="end"/>
      </w:r>
      <w:r>
        <w:t xml:space="preserve">. </w:t>
      </w:r>
      <w:r w:rsidR="00F30967">
        <w:t>The</w:t>
      </w:r>
      <w:r>
        <w:t xml:space="preserve"> develop</w:t>
      </w:r>
      <w:r w:rsidR="00F30967">
        <w:t>ment of other</w:t>
      </w:r>
      <w:r>
        <w:t xml:space="preserve"> new </w:t>
      </w:r>
      <w:r w:rsidR="00F30967">
        <w:t>large-scale</w:t>
      </w:r>
      <w:r>
        <w:t xml:space="preserve"> benchmarks</w:t>
      </w:r>
      <w:r w:rsidR="00E5440C">
        <w:t xml:space="preserve"> for commonsense reasoning</w:t>
      </w:r>
      <w:r w:rsidR="00F30967">
        <w:t>,</w:t>
      </w:r>
      <w:r w:rsidR="00E5440C">
        <w:t xml:space="preserve"> such as Social IQa</w:t>
      </w:r>
      <w:r>
        <w:t xml:space="preserve"> </w:t>
      </w:r>
      <w:r w:rsidR="00E5440C">
        <w:t xml:space="preserve">which </w:t>
      </w:r>
      <w:r w:rsidR="00F30967">
        <w:t>with the use of transfer learning achieves state-of-the-art results for both COPA and Winograd Schemas, provide evermore resources for the development of AI systems capable of commonsense reasoning</w:t>
      </w:r>
      <w:r w:rsidR="00205EB3">
        <w:t xml:space="preserve"> </w:t>
      </w:r>
      <w:r w:rsidR="003A6655">
        <w:fldChar w:fldCharType="begin"/>
      </w:r>
      <w:r w:rsidR="003A6655">
        <w:instrText xml:space="preserve"> ADDIN EN.CITE &lt;EndNote&gt;&lt;Cite&gt;&lt;Author&gt;Sap&lt;/Author&gt;&lt;Year&gt;2019&lt;/Year&gt;&lt;RecNum&gt;42&lt;/RecNum&gt;&lt;DisplayText&gt;(Sap et al., 2019)&lt;/DisplayText&gt;&lt;record&gt;&lt;rec-number&gt;42&lt;/rec-number&gt;&lt;foreign-keys&gt;&lt;key app="EN" db-id="vwvzxetr0zsrzlez204xvsek09e9v9r2a9r2" timestamp="1607187228" guid="fcfff707-81ae-426e-a590-87c8f3771118"&gt;42&lt;/key&gt;&lt;/foreign-keys&gt;&lt;ref-type name="Book"&gt;6&lt;/ref-type&gt;&lt;contributors&gt;&lt;authors&gt;&lt;author&gt;Sap, Maarten&lt;/author&gt;&lt;author&gt;Rashkin, Hannah&lt;/author&gt;&lt;author&gt;Chen, Derek&lt;/author&gt;&lt;author&gt;Bras, Ronan&lt;/author&gt;&lt;author&gt;Yejin, Choi&lt;/author&gt;&lt;/authors&gt;&lt;/contributors&gt;&lt;titles&gt;&lt;title&gt;Social IQa: Commonsense Reasoning about Social Interactions&lt;/title&gt;&lt;/titles&gt;&lt;pages&gt;4453-4463&lt;/pages&gt;&lt;dates&gt;&lt;year&gt;2019&lt;/year&gt;&lt;/dates&gt;&lt;urls&gt;&lt;/urls&gt;&lt;electronic-resource-num&gt;10.18653/v1/D19-1454&lt;/electronic-resource-num&gt;&lt;/record&gt;&lt;/Cite&gt;&lt;/EndNote&gt;</w:instrText>
      </w:r>
      <w:r w:rsidR="003A6655">
        <w:fldChar w:fldCharType="separate"/>
      </w:r>
      <w:r w:rsidR="003A6655">
        <w:rPr>
          <w:noProof/>
        </w:rPr>
        <w:t>(</w:t>
      </w:r>
      <w:hyperlink w:anchor="_ENREF_7" w:tooltip="Sap, 2019 #42" w:history="1">
        <w:r w:rsidR="003A6655">
          <w:rPr>
            <w:noProof/>
          </w:rPr>
          <w:t>Sap et al., 2019</w:t>
        </w:r>
      </w:hyperlink>
      <w:r w:rsidR="003A6655">
        <w:rPr>
          <w:noProof/>
        </w:rPr>
        <w:t>)</w:t>
      </w:r>
      <w:r w:rsidR="003A6655">
        <w:fldChar w:fldCharType="end"/>
      </w:r>
      <w:r w:rsidR="00F30967">
        <w:t>.</w:t>
      </w:r>
    </w:p>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Lierler, Y., Lifschitz,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Davis, E. and Marcus, G. 2015. Commonsense reasoning and commonsense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lastRenderedPageBreak/>
        <w:t>Isaak, N. and Michael, L. 2020. Winventor: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Neufeld, E. and Finnestad, S. 2020. In defense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Pr="003A6655" w:rsidRDefault="00290BC4" w:rsidP="00290BC4">
      <w:pPr>
        <w:rPr>
          <w:rFonts w:cstheme="minorHAnsi"/>
        </w:rPr>
      </w:pPr>
      <w:r w:rsidRPr="003A6655">
        <w:rPr>
          <w:rFonts w:cstheme="minorHAnsi"/>
        </w:rPr>
        <w:t>Richard-Bollans, A., Alvarez, L.G. and Cohn, A.G. 2018. The Role of Pragmatics in Solving the Winograd Schema Challenge. Proceedings of the Thirteenth International Symposium on Commonsense Reasoning (Commonsense 2017).</w:t>
      </w:r>
    </w:p>
    <w:p w14:paraId="14965A3A" w14:textId="77777777" w:rsidR="00290BC4" w:rsidRPr="003A6655" w:rsidRDefault="00290BC4" w:rsidP="00290BC4">
      <w:pPr>
        <w:rPr>
          <w:rFonts w:cstheme="minorHAnsi"/>
        </w:rPr>
      </w:pPr>
    </w:p>
    <w:p w14:paraId="67101858" w14:textId="77777777" w:rsidR="00290BC4" w:rsidRPr="003A6655" w:rsidRDefault="00290BC4" w:rsidP="00290BC4">
      <w:pPr>
        <w:rPr>
          <w:rFonts w:cstheme="minorHAnsi"/>
        </w:rPr>
      </w:pPr>
      <w:r w:rsidRPr="003A6655">
        <w:rPr>
          <w:rFonts w:cstheme="minorHAnsi"/>
        </w:rPr>
        <w:t>Sharma, A. 2019. Using Answer Set Programming for Commonsense Reasoning in the Winograd Schema Challenge. Theory and Practice of Logic Programming. 19(5-6), pp.1021-1037.</w:t>
      </w:r>
    </w:p>
    <w:p w14:paraId="6F82C76D" w14:textId="77777777" w:rsidR="00290BC4" w:rsidRPr="003A6655" w:rsidRDefault="00290BC4" w:rsidP="00290BC4">
      <w:pPr>
        <w:rPr>
          <w:rFonts w:cstheme="minorHAnsi"/>
        </w:rPr>
      </w:pPr>
    </w:p>
    <w:p w14:paraId="07298A2D" w14:textId="2ABAD20A" w:rsidR="00290BC4" w:rsidRPr="003A6655" w:rsidRDefault="00290BC4" w:rsidP="00290BC4">
      <w:pPr>
        <w:rPr>
          <w:rFonts w:cstheme="minorHAnsi"/>
        </w:rPr>
      </w:pPr>
      <w:r w:rsidRPr="003A6655">
        <w:rPr>
          <w:rFonts w:cstheme="minorHAnsi"/>
        </w:rPr>
        <w:t>Winograd, T. 1972. Understanding natural language. Cognitive Psychology. 3(1), pp.1-191.</w:t>
      </w:r>
    </w:p>
    <w:p w14:paraId="5C1890BD" w14:textId="35759676" w:rsidR="00A70280" w:rsidRPr="003A6655" w:rsidRDefault="00A70280" w:rsidP="00290BC4">
      <w:pPr>
        <w:rPr>
          <w:rFonts w:cstheme="minorHAnsi"/>
        </w:rPr>
      </w:pPr>
    </w:p>
    <w:p w14:paraId="2C3836CE" w14:textId="59ADF973" w:rsidR="003A6655" w:rsidRDefault="00A70280" w:rsidP="003A6655">
      <w:pPr>
        <w:pStyle w:val="EndNoteBibliography"/>
        <w:rPr>
          <w:rFonts w:asciiTheme="minorHAnsi" w:hAnsiTheme="minorHAnsi" w:cstheme="minorHAnsi"/>
          <w:sz w:val="24"/>
          <w:szCs w:val="24"/>
        </w:rPr>
      </w:pPr>
      <w:r w:rsidRPr="003A6655">
        <w:rPr>
          <w:rFonts w:asciiTheme="minorHAnsi" w:eastAsiaTheme="minorEastAsia" w:hAnsiTheme="minorHAnsi" w:cstheme="minorHAnsi"/>
          <w:sz w:val="24"/>
          <w:szCs w:val="24"/>
        </w:rPr>
        <w:fldChar w:fldCharType="begin"/>
      </w:r>
      <w:r w:rsidRPr="003A6655">
        <w:rPr>
          <w:rFonts w:asciiTheme="minorHAnsi" w:hAnsiTheme="minorHAnsi" w:cstheme="minorHAnsi"/>
          <w:sz w:val="24"/>
          <w:szCs w:val="24"/>
        </w:rPr>
        <w:instrText xml:space="preserve"> ADDIN EN.REFLIST </w:instrText>
      </w:r>
      <w:r w:rsidRPr="003A6655">
        <w:rPr>
          <w:rFonts w:asciiTheme="minorHAnsi" w:eastAsiaTheme="minorEastAsia" w:hAnsiTheme="minorHAnsi" w:cstheme="minorHAnsi"/>
          <w:sz w:val="24"/>
          <w:szCs w:val="24"/>
        </w:rPr>
        <w:fldChar w:fldCharType="separate"/>
      </w:r>
      <w:bookmarkStart w:id="2" w:name="_ENREF_1"/>
      <w:r w:rsidR="003A6655" w:rsidRPr="003A6655">
        <w:rPr>
          <w:rFonts w:asciiTheme="minorHAnsi" w:hAnsiTheme="minorHAnsi" w:cstheme="minorHAnsi"/>
          <w:sz w:val="24"/>
          <w:szCs w:val="24"/>
        </w:rPr>
        <w:t xml:space="preserve">Chakraborty, S. and Sundararajan, K.K. 2007. Winograd's algorithm statistically revisited: It pays to weigh than to count! </w:t>
      </w:r>
      <w:r w:rsidR="003A6655" w:rsidRPr="003A6655">
        <w:rPr>
          <w:rFonts w:asciiTheme="minorHAnsi" w:hAnsiTheme="minorHAnsi" w:cstheme="minorHAnsi"/>
          <w:i/>
          <w:sz w:val="24"/>
          <w:szCs w:val="24"/>
        </w:rPr>
        <w:t>Applied Mathematics and Computation.</w:t>
      </w:r>
      <w:r w:rsidR="003A6655" w:rsidRPr="003A6655">
        <w:rPr>
          <w:rFonts w:asciiTheme="minorHAnsi" w:hAnsiTheme="minorHAnsi" w:cstheme="minorHAnsi"/>
          <w:sz w:val="24"/>
          <w:szCs w:val="24"/>
        </w:rPr>
        <w:t xml:space="preserve"> </w:t>
      </w:r>
      <w:r w:rsidR="003A6655" w:rsidRPr="003A6655">
        <w:rPr>
          <w:rFonts w:asciiTheme="minorHAnsi" w:hAnsiTheme="minorHAnsi" w:cstheme="minorHAnsi"/>
          <w:b/>
          <w:sz w:val="24"/>
          <w:szCs w:val="24"/>
        </w:rPr>
        <w:t>190</w:t>
      </w:r>
      <w:r w:rsidR="003A6655" w:rsidRPr="003A6655">
        <w:rPr>
          <w:rFonts w:asciiTheme="minorHAnsi" w:hAnsiTheme="minorHAnsi" w:cstheme="minorHAnsi"/>
          <w:sz w:val="24"/>
          <w:szCs w:val="24"/>
        </w:rPr>
        <w:t>(1), pp.15-20.</w:t>
      </w:r>
      <w:bookmarkEnd w:id="2"/>
    </w:p>
    <w:p w14:paraId="02478573" w14:textId="77777777" w:rsidR="003A6655" w:rsidRPr="003A6655" w:rsidRDefault="003A6655" w:rsidP="003A6655">
      <w:pPr>
        <w:pStyle w:val="EndNoteBibliography"/>
        <w:rPr>
          <w:rFonts w:asciiTheme="minorHAnsi" w:hAnsiTheme="minorHAnsi" w:cstheme="minorHAnsi"/>
          <w:sz w:val="24"/>
          <w:szCs w:val="24"/>
        </w:rPr>
      </w:pPr>
    </w:p>
    <w:p w14:paraId="3C764115" w14:textId="725A1B83" w:rsidR="003A6655" w:rsidRDefault="003A6655" w:rsidP="003A6655">
      <w:pPr>
        <w:pStyle w:val="EndNoteBibliography"/>
        <w:rPr>
          <w:rFonts w:asciiTheme="minorHAnsi" w:hAnsiTheme="minorHAnsi" w:cstheme="minorHAnsi"/>
          <w:sz w:val="24"/>
          <w:szCs w:val="24"/>
        </w:rPr>
      </w:pPr>
      <w:bookmarkStart w:id="3" w:name="_ENREF_2"/>
      <w:r w:rsidRPr="003A6655">
        <w:rPr>
          <w:rFonts w:asciiTheme="minorHAnsi" w:hAnsiTheme="minorHAnsi" w:cstheme="minorHAnsi"/>
          <w:sz w:val="24"/>
          <w:szCs w:val="24"/>
        </w:rPr>
        <w:t xml:space="preserve">Gordon, A.S. 2010. </w:t>
      </w:r>
      <w:r w:rsidRPr="003A6655">
        <w:rPr>
          <w:rFonts w:asciiTheme="minorHAnsi" w:hAnsiTheme="minorHAnsi" w:cstheme="minorHAnsi"/>
          <w:i/>
          <w:sz w:val="24"/>
          <w:szCs w:val="24"/>
        </w:rPr>
        <w:t>COPA-questions-dev.</w:t>
      </w:r>
      <w:r w:rsidRPr="003A6655">
        <w:rPr>
          <w:rFonts w:asciiTheme="minorHAnsi" w:hAnsiTheme="minorHAnsi" w:cstheme="minorHAnsi"/>
          <w:sz w:val="24"/>
          <w:szCs w:val="24"/>
        </w:rPr>
        <w:t xml:space="preserve"> [Online]. Available from: </w:t>
      </w:r>
      <w:hyperlink r:id="rId8" w:history="1">
        <w:r w:rsidRPr="003A6655">
          <w:rPr>
            <w:rStyle w:val="Hyperlink"/>
            <w:rFonts w:asciiTheme="minorHAnsi" w:hAnsiTheme="minorHAnsi" w:cstheme="minorHAnsi"/>
            <w:sz w:val="24"/>
            <w:szCs w:val="24"/>
          </w:rPr>
          <w:t>https://people.ict.usc.edu/~gordon/downloads/COPA-questions-dev.txt</w:t>
        </w:r>
        <w:bookmarkEnd w:id="3"/>
      </w:hyperlink>
    </w:p>
    <w:p w14:paraId="05DE63FC" w14:textId="77777777" w:rsidR="003A6655" w:rsidRPr="003A6655" w:rsidRDefault="003A6655" w:rsidP="003A6655">
      <w:pPr>
        <w:pStyle w:val="EndNoteBibliography"/>
        <w:rPr>
          <w:rFonts w:asciiTheme="minorHAnsi" w:hAnsiTheme="minorHAnsi" w:cstheme="minorHAnsi"/>
          <w:sz w:val="24"/>
          <w:szCs w:val="24"/>
        </w:rPr>
      </w:pPr>
    </w:p>
    <w:p w14:paraId="153CBDAA" w14:textId="3FAE6388" w:rsidR="003A6655" w:rsidRDefault="003A6655" w:rsidP="003A6655">
      <w:pPr>
        <w:pStyle w:val="EndNoteBibliography"/>
        <w:rPr>
          <w:rFonts w:asciiTheme="minorHAnsi" w:hAnsiTheme="minorHAnsi" w:cstheme="minorHAnsi"/>
          <w:i/>
          <w:sz w:val="24"/>
          <w:szCs w:val="24"/>
        </w:rPr>
      </w:pPr>
      <w:bookmarkStart w:id="4" w:name="_ENREF_3"/>
      <w:r w:rsidRPr="003A6655">
        <w:rPr>
          <w:rFonts w:asciiTheme="minorHAnsi" w:hAnsiTheme="minorHAnsi" w:cstheme="minorHAnsi"/>
          <w:sz w:val="24"/>
          <w:szCs w:val="24"/>
        </w:rPr>
        <w:t xml:space="preserve">Isaak, N. and Michael, L. 2020. </w:t>
      </w:r>
      <w:r w:rsidRPr="003A6655">
        <w:rPr>
          <w:rFonts w:asciiTheme="minorHAnsi" w:hAnsiTheme="minorHAnsi" w:cstheme="minorHAnsi"/>
          <w:i/>
          <w:sz w:val="24"/>
          <w:szCs w:val="24"/>
        </w:rPr>
        <w:t>Winventor: A Machine-driven Approach for the Development of Winograd Schemas.</w:t>
      </w:r>
      <w:bookmarkEnd w:id="4"/>
    </w:p>
    <w:p w14:paraId="202D3FF6" w14:textId="77777777" w:rsidR="003A6655" w:rsidRPr="003A6655" w:rsidRDefault="003A6655" w:rsidP="003A6655">
      <w:pPr>
        <w:pStyle w:val="EndNoteBibliography"/>
        <w:rPr>
          <w:rFonts w:asciiTheme="minorHAnsi" w:hAnsiTheme="minorHAnsi" w:cstheme="minorHAnsi"/>
          <w:i/>
          <w:sz w:val="24"/>
          <w:szCs w:val="24"/>
        </w:rPr>
      </w:pPr>
    </w:p>
    <w:p w14:paraId="3106BA1F" w14:textId="20CBB8A7" w:rsidR="003A6655" w:rsidRDefault="003A6655" w:rsidP="003A6655">
      <w:pPr>
        <w:pStyle w:val="EndNoteBibliography"/>
        <w:rPr>
          <w:rFonts w:asciiTheme="minorHAnsi" w:hAnsiTheme="minorHAnsi" w:cstheme="minorHAnsi"/>
          <w:sz w:val="24"/>
          <w:szCs w:val="24"/>
        </w:rPr>
      </w:pPr>
      <w:bookmarkStart w:id="5" w:name="_ENREF_4"/>
      <w:r w:rsidRPr="003A6655">
        <w:rPr>
          <w:rFonts w:asciiTheme="minorHAnsi" w:hAnsiTheme="minorHAnsi" w:cstheme="minorHAnsi"/>
          <w:sz w:val="24"/>
          <w:szCs w:val="24"/>
        </w:rPr>
        <w:t xml:space="preserve">Luo, Z., Sha, Y., Zhu, K.Q., Hwang, S.-w. and Wang, Z. 2016. Commonsense causal reasoning between short texts. In: </w:t>
      </w:r>
      <w:r w:rsidRPr="003A6655">
        <w:rPr>
          <w:rFonts w:asciiTheme="minorHAnsi" w:hAnsiTheme="minorHAnsi" w:cstheme="minorHAnsi"/>
          <w:i/>
          <w:sz w:val="24"/>
          <w:szCs w:val="24"/>
        </w:rPr>
        <w:t>Proceedings of the Fifteenth International Conference on Principles of Knowledge Representation and Reasoning</w:t>
      </w:r>
      <w:r w:rsidRPr="003A6655">
        <w:rPr>
          <w:rFonts w:asciiTheme="minorHAnsi" w:hAnsiTheme="minorHAnsi" w:cstheme="minorHAnsi"/>
          <w:sz w:val="24"/>
          <w:szCs w:val="24"/>
        </w:rPr>
        <w:t xml:space="preserve">, </w:t>
      </w:r>
      <w:r w:rsidRPr="003A6655">
        <w:rPr>
          <w:rFonts w:asciiTheme="minorHAnsi" w:hAnsiTheme="minorHAnsi" w:cstheme="minorHAnsi"/>
          <w:i/>
          <w:sz w:val="24"/>
          <w:szCs w:val="24"/>
        </w:rPr>
        <w:t>Cape Town, South Africa</w:t>
      </w:r>
      <w:r w:rsidRPr="003A6655">
        <w:rPr>
          <w:rFonts w:asciiTheme="minorHAnsi" w:hAnsiTheme="minorHAnsi" w:cstheme="minorHAnsi"/>
          <w:sz w:val="24"/>
          <w:szCs w:val="24"/>
        </w:rPr>
        <w:t>. AAAI Press, pp.421–430.</w:t>
      </w:r>
      <w:bookmarkEnd w:id="5"/>
    </w:p>
    <w:p w14:paraId="4277AD91" w14:textId="77777777" w:rsidR="003A6655" w:rsidRPr="003A6655" w:rsidRDefault="003A6655" w:rsidP="003A6655">
      <w:pPr>
        <w:pStyle w:val="EndNoteBibliography"/>
        <w:rPr>
          <w:rFonts w:asciiTheme="minorHAnsi" w:hAnsiTheme="minorHAnsi" w:cstheme="minorHAnsi"/>
          <w:sz w:val="24"/>
          <w:szCs w:val="24"/>
        </w:rPr>
      </w:pPr>
    </w:p>
    <w:p w14:paraId="643813DD" w14:textId="77777777" w:rsidR="003A6655" w:rsidRPr="003A6655" w:rsidRDefault="003A6655" w:rsidP="003A6655">
      <w:pPr>
        <w:pStyle w:val="EndNoteBibliography"/>
        <w:rPr>
          <w:rFonts w:asciiTheme="minorHAnsi" w:hAnsiTheme="minorHAnsi" w:cstheme="minorHAnsi"/>
          <w:i/>
          <w:sz w:val="24"/>
          <w:szCs w:val="24"/>
        </w:rPr>
      </w:pPr>
      <w:bookmarkStart w:id="6" w:name="_ENREF_5"/>
      <w:r w:rsidRPr="003A6655">
        <w:rPr>
          <w:rFonts w:asciiTheme="minorHAnsi" w:hAnsiTheme="minorHAnsi" w:cstheme="minorHAnsi"/>
          <w:sz w:val="24"/>
          <w:szCs w:val="24"/>
        </w:rPr>
        <w:t xml:space="preserve">Roemmele, M., Bejan, C. and Gordon, A. 2011. </w:t>
      </w:r>
      <w:r w:rsidRPr="003A6655">
        <w:rPr>
          <w:rFonts w:asciiTheme="minorHAnsi" w:hAnsiTheme="minorHAnsi" w:cstheme="minorHAnsi"/>
          <w:i/>
          <w:sz w:val="24"/>
          <w:szCs w:val="24"/>
        </w:rPr>
        <w:t>Choice of Plausible Alternatives: An Evaluation of Commonsense Causal Reasoning.</w:t>
      </w:r>
      <w:bookmarkEnd w:id="6"/>
    </w:p>
    <w:p w14:paraId="11C7D31C" w14:textId="48D36AF5" w:rsidR="003A6655" w:rsidRDefault="003A6655" w:rsidP="003A6655">
      <w:pPr>
        <w:pStyle w:val="EndNoteBibliography"/>
        <w:rPr>
          <w:rFonts w:asciiTheme="minorHAnsi" w:hAnsiTheme="minorHAnsi" w:cstheme="minorHAnsi"/>
          <w:i/>
          <w:sz w:val="24"/>
          <w:szCs w:val="24"/>
        </w:rPr>
      </w:pPr>
      <w:bookmarkStart w:id="7" w:name="_ENREF_6"/>
      <w:r w:rsidRPr="003A6655">
        <w:rPr>
          <w:rFonts w:asciiTheme="minorHAnsi" w:hAnsiTheme="minorHAnsi" w:cstheme="minorHAnsi"/>
          <w:sz w:val="24"/>
          <w:szCs w:val="24"/>
        </w:rPr>
        <w:t xml:space="preserve">Roemmele, M. and Gordon, A. 2018. </w:t>
      </w:r>
      <w:r w:rsidRPr="003A6655">
        <w:rPr>
          <w:rFonts w:asciiTheme="minorHAnsi" w:hAnsiTheme="minorHAnsi" w:cstheme="minorHAnsi"/>
          <w:i/>
          <w:sz w:val="24"/>
          <w:szCs w:val="24"/>
        </w:rPr>
        <w:t>An Encoder-decoder Approach to Predicting Causal Relations in Stories.</w:t>
      </w:r>
      <w:bookmarkEnd w:id="7"/>
    </w:p>
    <w:p w14:paraId="71BB1517" w14:textId="77777777" w:rsidR="003A6655" w:rsidRPr="003A6655" w:rsidRDefault="003A6655" w:rsidP="003A6655">
      <w:pPr>
        <w:pStyle w:val="EndNoteBibliography"/>
        <w:rPr>
          <w:rFonts w:asciiTheme="minorHAnsi" w:hAnsiTheme="minorHAnsi" w:cstheme="minorHAnsi"/>
          <w:i/>
          <w:sz w:val="24"/>
          <w:szCs w:val="24"/>
        </w:rPr>
      </w:pPr>
    </w:p>
    <w:p w14:paraId="67A42775" w14:textId="0C7CD644" w:rsidR="003A6655" w:rsidRDefault="003A6655" w:rsidP="003A6655">
      <w:pPr>
        <w:pStyle w:val="EndNoteBibliography"/>
        <w:rPr>
          <w:rFonts w:asciiTheme="minorHAnsi" w:hAnsiTheme="minorHAnsi" w:cstheme="minorHAnsi"/>
          <w:i/>
          <w:sz w:val="24"/>
          <w:szCs w:val="24"/>
        </w:rPr>
      </w:pPr>
      <w:bookmarkStart w:id="8" w:name="_ENREF_7"/>
      <w:r w:rsidRPr="003A6655">
        <w:rPr>
          <w:rFonts w:asciiTheme="minorHAnsi" w:hAnsiTheme="minorHAnsi" w:cstheme="minorHAnsi"/>
          <w:sz w:val="24"/>
          <w:szCs w:val="24"/>
        </w:rPr>
        <w:t xml:space="preserve">Sap, M., Rashkin, H., Chen, D., Bras, R. and Yejin, C. 2019. </w:t>
      </w:r>
      <w:r w:rsidRPr="003A6655">
        <w:rPr>
          <w:rFonts w:asciiTheme="minorHAnsi" w:hAnsiTheme="minorHAnsi" w:cstheme="minorHAnsi"/>
          <w:i/>
          <w:sz w:val="24"/>
          <w:szCs w:val="24"/>
        </w:rPr>
        <w:t>Social IQa: Commonsense Reasoning about Social Interactions.</w:t>
      </w:r>
      <w:bookmarkEnd w:id="8"/>
    </w:p>
    <w:p w14:paraId="2C349DE9" w14:textId="77777777" w:rsidR="003A6655" w:rsidRPr="003A6655" w:rsidRDefault="003A6655" w:rsidP="003A6655">
      <w:pPr>
        <w:pStyle w:val="EndNoteBibliography"/>
        <w:rPr>
          <w:rFonts w:asciiTheme="minorHAnsi" w:hAnsiTheme="minorHAnsi" w:cstheme="minorHAnsi"/>
          <w:i/>
          <w:sz w:val="24"/>
          <w:szCs w:val="24"/>
        </w:rPr>
      </w:pPr>
    </w:p>
    <w:p w14:paraId="4ED24130" w14:textId="77777777" w:rsidR="003A6655" w:rsidRPr="003A6655" w:rsidRDefault="003A6655" w:rsidP="003A6655">
      <w:pPr>
        <w:pStyle w:val="EndNoteBibliography"/>
        <w:rPr>
          <w:rFonts w:asciiTheme="minorHAnsi" w:hAnsiTheme="minorHAnsi" w:cstheme="minorHAnsi"/>
          <w:sz w:val="24"/>
          <w:szCs w:val="24"/>
        </w:rPr>
      </w:pPr>
      <w:bookmarkStart w:id="9" w:name="_ENREF_8"/>
      <w:r w:rsidRPr="003A6655">
        <w:rPr>
          <w:rFonts w:asciiTheme="minorHAnsi" w:hAnsiTheme="minorHAnsi" w:cstheme="minorHAnsi"/>
          <w:sz w:val="24"/>
          <w:szCs w:val="24"/>
        </w:rPr>
        <w:t>Yeo, J., Lee, G., Wang, G., Choi, S., Cho, H., Kim Amplayo, R. and Hwang, S.-w. 2018. Visual Choice of Plausible Alternatives: An Evaluation of Image-based Commonsense Causal Reasoning. In:</w:t>
      </w:r>
      <w:r w:rsidRPr="003A6655">
        <w:rPr>
          <w:rFonts w:asciiTheme="minorHAnsi" w:hAnsiTheme="minorHAnsi" w:cstheme="minorHAnsi"/>
          <w:i/>
          <w:sz w:val="24"/>
          <w:szCs w:val="24"/>
        </w:rPr>
        <w:t xml:space="preserve"> may, Miyazaki, Japan</w:t>
      </w:r>
      <w:r w:rsidRPr="003A6655">
        <w:rPr>
          <w:rFonts w:asciiTheme="minorHAnsi" w:hAnsiTheme="minorHAnsi" w:cstheme="minorHAnsi"/>
          <w:sz w:val="24"/>
          <w:szCs w:val="24"/>
        </w:rPr>
        <w:t>. European Language Resources Association (ELRA).</w:t>
      </w:r>
      <w:bookmarkEnd w:id="9"/>
    </w:p>
    <w:p w14:paraId="06DFBFCC" w14:textId="77777777" w:rsidR="003A6655" w:rsidRPr="003A6655" w:rsidRDefault="003A6655" w:rsidP="003A6655">
      <w:pPr>
        <w:pStyle w:val="EndNoteBibliography"/>
        <w:rPr>
          <w:rFonts w:asciiTheme="minorHAnsi" w:hAnsiTheme="minorHAnsi" w:cstheme="minorHAnsi"/>
          <w:i/>
          <w:sz w:val="24"/>
          <w:szCs w:val="24"/>
        </w:rPr>
      </w:pPr>
      <w:bookmarkStart w:id="10" w:name="_ENREF_9"/>
      <w:r w:rsidRPr="003A6655">
        <w:rPr>
          <w:rFonts w:asciiTheme="minorHAnsi" w:hAnsiTheme="minorHAnsi" w:cstheme="minorHAnsi"/>
          <w:sz w:val="24"/>
          <w:szCs w:val="24"/>
        </w:rPr>
        <w:t xml:space="preserve">Zhang, H.M., Song, Y.Q. and Acm. 2018. </w:t>
      </w:r>
      <w:r w:rsidRPr="003A6655">
        <w:rPr>
          <w:rFonts w:asciiTheme="minorHAnsi" w:hAnsiTheme="minorHAnsi" w:cstheme="minorHAnsi"/>
          <w:i/>
          <w:sz w:val="24"/>
          <w:szCs w:val="24"/>
        </w:rPr>
        <w:t>A Distributed Solution for Winograd Schema Challenge.</w:t>
      </w:r>
      <w:bookmarkEnd w:id="10"/>
    </w:p>
    <w:p w14:paraId="11755016" w14:textId="632691A3" w:rsidR="00321478" w:rsidRDefault="00A70280" w:rsidP="003A6655">
      <w:r w:rsidRPr="003A6655">
        <w:rPr>
          <w:rFonts w:cstheme="minorHAnsi"/>
        </w:rPr>
        <w:lastRenderedPageBreak/>
        <w:fldChar w:fldCharType="end"/>
      </w:r>
    </w:p>
    <w:p w14:paraId="52AC0C7A" w14:textId="634B6EEB" w:rsidR="00321478" w:rsidRPr="00290BC4" w:rsidRDefault="00321478" w:rsidP="00290BC4"/>
    <w:sectPr w:rsidR="00321478" w:rsidRPr="00290BC4" w:rsidSect="00F85562">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085E2" w14:textId="77777777" w:rsidR="002C177D" w:rsidRDefault="002C177D" w:rsidP="00A95E5B">
      <w:r>
        <w:separator/>
      </w:r>
    </w:p>
  </w:endnote>
  <w:endnote w:type="continuationSeparator" w:id="0">
    <w:p w14:paraId="32824619" w14:textId="77777777" w:rsidR="002C177D" w:rsidRDefault="002C177D"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l Bayan">
    <w:altName w:val="﷽﷽﷽﷽﷽﷽﷽﷽"/>
    <w:panose1 w:val="00000000000000000000"/>
    <w:charset w:val="B2"/>
    <w:family w:val="auto"/>
    <w:pitch w:val="variable"/>
    <w:sig w:usb0="00002001" w:usb1="00000000" w:usb2="00000008" w:usb3="00000000" w:csb0="00000040"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9B1A82" w:rsidRDefault="009B1A82" w:rsidP="009B1A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9B1A82" w:rsidRDefault="009B1A82"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9B1A82" w:rsidRPr="00A95E5B" w:rsidRDefault="009B1A82" w:rsidP="009B1A82">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9B1A82" w:rsidRPr="00A95E5B" w:rsidRDefault="009B1A82"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CE318" w14:textId="77777777" w:rsidR="002C177D" w:rsidRDefault="002C177D" w:rsidP="00A95E5B">
      <w:r>
        <w:separator/>
      </w:r>
    </w:p>
  </w:footnote>
  <w:footnote w:type="continuationSeparator" w:id="0">
    <w:p w14:paraId="65F8A46B" w14:textId="77777777" w:rsidR="002C177D" w:rsidRDefault="002C177D"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9B1A82" w:rsidRPr="00A95E5B" w:rsidRDefault="009B1A82">
    <w:pPr>
      <w:pStyle w:val="Header"/>
      <w:rPr>
        <w:color w:val="2F5496" w:themeColor="accent1" w:themeShade="BF"/>
      </w:rPr>
    </w:pPr>
    <w:r w:rsidRPr="00A95E5B">
      <w:rPr>
        <w:color w:val="2F5496" w:themeColor="accent1" w:themeShade="BF"/>
      </w:rPr>
      <w:t>COMP5450M – Knowledge Representation and Reasoning</w:t>
    </w:r>
  </w:p>
  <w:p w14:paraId="2C591098" w14:textId="77777777" w:rsidR="009B1A82" w:rsidRDefault="009B1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lt;/Style&gt;&lt;LeftDelim&gt;{&lt;/LeftDelim&gt;&lt;RightDelim&gt;}&lt;/RightDelim&gt;&lt;FontName&gt;Al Bay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wvzxetr0zsrzlez204xvsek09e9v9r2a9r2&quot;&gt;scelb@leeds.ac.uk&lt;record-ids&gt;&lt;item&gt;21&lt;/item&gt;&lt;item&gt;25&lt;/item&gt;&lt;item&gt;26&lt;/item&gt;&lt;item&gt;38&lt;/item&gt;&lt;item&gt;39&lt;/item&gt;&lt;item&gt;40&lt;/item&gt;&lt;item&gt;41&lt;/item&gt;&lt;item&gt;42&lt;/item&gt;&lt;item&gt;45&lt;/item&gt;&lt;/record-ids&gt;&lt;/item&gt;&lt;/Libraries&gt;"/>
  </w:docVars>
  <w:rsids>
    <w:rsidRoot w:val="00E32871"/>
    <w:rsid w:val="00003009"/>
    <w:rsid w:val="000047B9"/>
    <w:rsid w:val="00014A9B"/>
    <w:rsid w:val="00032672"/>
    <w:rsid w:val="000442A3"/>
    <w:rsid w:val="00045B5E"/>
    <w:rsid w:val="000460F3"/>
    <w:rsid w:val="00086296"/>
    <w:rsid w:val="00092092"/>
    <w:rsid w:val="000E2677"/>
    <w:rsid w:val="000E44CD"/>
    <w:rsid w:val="000F1696"/>
    <w:rsid w:val="000F282A"/>
    <w:rsid w:val="00117AEF"/>
    <w:rsid w:val="00124C06"/>
    <w:rsid w:val="00133905"/>
    <w:rsid w:val="00167DBA"/>
    <w:rsid w:val="001A21F8"/>
    <w:rsid w:val="001C4BA0"/>
    <w:rsid w:val="002004C9"/>
    <w:rsid w:val="00205EB3"/>
    <w:rsid w:val="00262D87"/>
    <w:rsid w:val="002737E3"/>
    <w:rsid w:val="00282586"/>
    <w:rsid w:val="002908BD"/>
    <w:rsid w:val="00290BC4"/>
    <w:rsid w:val="00295BAA"/>
    <w:rsid w:val="002C177D"/>
    <w:rsid w:val="002C3431"/>
    <w:rsid w:val="002F4C29"/>
    <w:rsid w:val="002F7FB8"/>
    <w:rsid w:val="00317973"/>
    <w:rsid w:val="00321478"/>
    <w:rsid w:val="00326AAF"/>
    <w:rsid w:val="00356F1C"/>
    <w:rsid w:val="00360487"/>
    <w:rsid w:val="00381C71"/>
    <w:rsid w:val="003A6655"/>
    <w:rsid w:val="003B1212"/>
    <w:rsid w:val="003B410B"/>
    <w:rsid w:val="003B5569"/>
    <w:rsid w:val="003D091A"/>
    <w:rsid w:val="003D5B63"/>
    <w:rsid w:val="003D7AF7"/>
    <w:rsid w:val="003E2685"/>
    <w:rsid w:val="003F38AC"/>
    <w:rsid w:val="00442421"/>
    <w:rsid w:val="00443F28"/>
    <w:rsid w:val="00444695"/>
    <w:rsid w:val="00466063"/>
    <w:rsid w:val="0048280E"/>
    <w:rsid w:val="004918DB"/>
    <w:rsid w:val="004A40F8"/>
    <w:rsid w:val="004A60A5"/>
    <w:rsid w:val="004B154F"/>
    <w:rsid w:val="004B2109"/>
    <w:rsid w:val="004B3EBC"/>
    <w:rsid w:val="004C1018"/>
    <w:rsid w:val="004C1803"/>
    <w:rsid w:val="004D1C0E"/>
    <w:rsid w:val="004E6DA8"/>
    <w:rsid w:val="00506D04"/>
    <w:rsid w:val="00511B2C"/>
    <w:rsid w:val="005212A7"/>
    <w:rsid w:val="005251A0"/>
    <w:rsid w:val="00556618"/>
    <w:rsid w:val="00562AE5"/>
    <w:rsid w:val="00584A07"/>
    <w:rsid w:val="0059063B"/>
    <w:rsid w:val="005A1D8B"/>
    <w:rsid w:val="005A31D1"/>
    <w:rsid w:val="005B2113"/>
    <w:rsid w:val="005B29F3"/>
    <w:rsid w:val="005B56D0"/>
    <w:rsid w:val="005D79B0"/>
    <w:rsid w:val="00610122"/>
    <w:rsid w:val="0061132C"/>
    <w:rsid w:val="00627FDB"/>
    <w:rsid w:val="006347B1"/>
    <w:rsid w:val="00635958"/>
    <w:rsid w:val="0063754D"/>
    <w:rsid w:val="00637720"/>
    <w:rsid w:val="00642D6F"/>
    <w:rsid w:val="00646FB0"/>
    <w:rsid w:val="006665DD"/>
    <w:rsid w:val="00673610"/>
    <w:rsid w:val="006A6E31"/>
    <w:rsid w:val="006A7713"/>
    <w:rsid w:val="006D5715"/>
    <w:rsid w:val="006D5F32"/>
    <w:rsid w:val="006E45A7"/>
    <w:rsid w:val="006E5CA2"/>
    <w:rsid w:val="00701C13"/>
    <w:rsid w:val="00703915"/>
    <w:rsid w:val="0070737D"/>
    <w:rsid w:val="00712B06"/>
    <w:rsid w:val="007229C0"/>
    <w:rsid w:val="00762DCD"/>
    <w:rsid w:val="00763313"/>
    <w:rsid w:val="00770D83"/>
    <w:rsid w:val="007710ED"/>
    <w:rsid w:val="00774C53"/>
    <w:rsid w:val="008111CA"/>
    <w:rsid w:val="008352FA"/>
    <w:rsid w:val="0086172C"/>
    <w:rsid w:val="0086192D"/>
    <w:rsid w:val="00877896"/>
    <w:rsid w:val="008A4B5A"/>
    <w:rsid w:val="008B68FE"/>
    <w:rsid w:val="008C7FA6"/>
    <w:rsid w:val="008D48CB"/>
    <w:rsid w:val="008E147B"/>
    <w:rsid w:val="008F1529"/>
    <w:rsid w:val="00904346"/>
    <w:rsid w:val="00924DDE"/>
    <w:rsid w:val="0093471B"/>
    <w:rsid w:val="009367AC"/>
    <w:rsid w:val="009549AF"/>
    <w:rsid w:val="00961775"/>
    <w:rsid w:val="0099335D"/>
    <w:rsid w:val="009B1A82"/>
    <w:rsid w:val="009E0B4E"/>
    <w:rsid w:val="009F2345"/>
    <w:rsid w:val="00A0767C"/>
    <w:rsid w:val="00A21A81"/>
    <w:rsid w:val="00A37446"/>
    <w:rsid w:val="00A45DFF"/>
    <w:rsid w:val="00A60707"/>
    <w:rsid w:val="00A70280"/>
    <w:rsid w:val="00A740A7"/>
    <w:rsid w:val="00A831B8"/>
    <w:rsid w:val="00A85051"/>
    <w:rsid w:val="00A95E5B"/>
    <w:rsid w:val="00A97EA0"/>
    <w:rsid w:val="00AA7CAE"/>
    <w:rsid w:val="00AB402A"/>
    <w:rsid w:val="00AB7128"/>
    <w:rsid w:val="00AD2046"/>
    <w:rsid w:val="00AE1536"/>
    <w:rsid w:val="00AE2BD9"/>
    <w:rsid w:val="00B431C3"/>
    <w:rsid w:val="00B51421"/>
    <w:rsid w:val="00B6099C"/>
    <w:rsid w:val="00B76B73"/>
    <w:rsid w:val="00B85775"/>
    <w:rsid w:val="00B912D1"/>
    <w:rsid w:val="00B93644"/>
    <w:rsid w:val="00BB6C23"/>
    <w:rsid w:val="00C00726"/>
    <w:rsid w:val="00C009B8"/>
    <w:rsid w:val="00C01575"/>
    <w:rsid w:val="00C16400"/>
    <w:rsid w:val="00C3147C"/>
    <w:rsid w:val="00C336C7"/>
    <w:rsid w:val="00C37A14"/>
    <w:rsid w:val="00C66DE4"/>
    <w:rsid w:val="00C75FC8"/>
    <w:rsid w:val="00C80C78"/>
    <w:rsid w:val="00C91150"/>
    <w:rsid w:val="00CB0495"/>
    <w:rsid w:val="00CC377E"/>
    <w:rsid w:val="00CC6845"/>
    <w:rsid w:val="00CD42B7"/>
    <w:rsid w:val="00CE5320"/>
    <w:rsid w:val="00CE6523"/>
    <w:rsid w:val="00CF08E6"/>
    <w:rsid w:val="00CF65DE"/>
    <w:rsid w:val="00D0255B"/>
    <w:rsid w:val="00D036D3"/>
    <w:rsid w:val="00D0650E"/>
    <w:rsid w:val="00D3567A"/>
    <w:rsid w:val="00D404AA"/>
    <w:rsid w:val="00D55E45"/>
    <w:rsid w:val="00D80A3E"/>
    <w:rsid w:val="00D82B50"/>
    <w:rsid w:val="00DA4896"/>
    <w:rsid w:val="00DB22A8"/>
    <w:rsid w:val="00DB3826"/>
    <w:rsid w:val="00DC4070"/>
    <w:rsid w:val="00DD6E47"/>
    <w:rsid w:val="00DE2F3F"/>
    <w:rsid w:val="00E03407"/>
    <w:rsid w:val="00E15FF8"/>
    <w:rsid w:val="00E32871"/>
    <w:rsid w:val="00E441E4"/>
    <w:rsid w:val="00E4485D"/>
    <w:rsid w:val="00E5440C"/>
    <w:rsid w:val="00E56801"/>
    <w:rsid w:val="00E94FE9"/>
    <w:rsid w:val="00EA040A"/>
    <w:rsid w:val="00EA0A8A"/>
    <w:rsid w:val="00EA2544"/>
    <w:rsid w:val="00EA2620"/>
    <w:rsid w:val="00EA65E2"/>
    <w:rsid w:val="00EB26FF"/>
    <w:rsid w:val="00EB7045"/>
    <w:rsid w:val="00ED211D"/>
    <w:rsid w:val="00EE5E33"/>
    <w:rsid w:val="00EF14F4"/>
    <w:rsid w:val="00EF2703"/>
    <w:rsid w:val="00F140AB"/>
    <w:rsid w:val="00F30967"/>
    <w:rsid w:val="00F708D4"/>
    <w:rsid w:val="00F71976"/>
    <w:rsid w:val="00F75DD7"/>
    <w:rsid w:val="00F76B67"/>
    <w:rsid w:val="00F85562"/>
    <w:rsid w:val="00FA44B2"/>
    <w:rsid w:val="00FB2C32"/>
    <w:rsid w:val="00FB305A"/>
    <w:rsid w:val="00FB7289"/>
    <w:rsid w:val="00FD7288"/>
    <w:rsid w:val="00FE35D8"/>
    <w:rsid w:val="00FE704B"/>
    <w:rsid w:val="00FE7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6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Al Bayan" w:eastAsiaTheme="minorHAnsi" w:hAnsi="Al Bayan" w:cs="Al Bayan"/>
      <w:noProof/>
      <w:sz w:val="32"/>
      <w:szCs w:val="22"/>
      <w:lang w:eastAsia="en-US"/>
    </w:rPr>
  </w:style>
  <w:style w:type="character" w:customStyle="1" w:styleId="EndNoteBibliographyChar">
    <w:name w:val="EndNote Bibliography Char"/>
    <w:basedOn w:val="ListParagraphChar"/>
    <w:link w:val="EndNoteBibliography"/>
    <w:rsid w:val="00A70280"/>
    <w:rPr>
      <w:rFonts w:ascii="Al Bayan" w:eastAsiaTheme="minorHAnsi" w:hAnsi="Al Bayan" w:cs="Al Bayan"/>
      <w:noProof/>
      <w:sz w:val="32"/>
      <w:szCs w:val="22"/>
      <w:lang w:eastAsia="en-US"/>
    </w:rPr>
  </w:style>
  <w:style w:type="character" w:customStyle="1" w:styleId="Heading3Char">
    <w:name w:val="Heading 3 Char"/>
    <w:basedOn w:val="DefaultParagraphFont"/>
    <w:link w:val="Heading3"/>
    <w:uiPriority w:val="9"/>
    <w:rsid w:val="00D3567A"/>
    <w:rPr>
      <w:rFonts w:asciiTheme="majorHAnsi" w:eastAsiaTheme="majorEastAsia" w:hAnsiTheme="majorHAnsi" w:cstheme="majorBidi"/>
      <w:color w:val="1F3763" w:themeColor="accent1" w:themeShade="7F"/>
    </w:rPr>
  </w:style>
  <w:style w:type="paragraph" w:customStyle="1" w:styleId="EndNoteBibliographyTitle">
    <w:name w:val="EndNote Bibliography Title"/>
    <w:basedOn w:val="Normal"/>
    <w:link w:val="EndNoteBibliographyTitleChar"/>
    <w:rsid w:val="00F85562"/>
    <w:pPr>
      <w:jc w:val="center"/>
    </w:pPr>
    <w:rPr>
      <w:rFonts w:ascii="Al Bayan" w:hAnsi="Al Bayan" w:cs="Al Bayan"/>
      <w:sz w:val="32"/>
    </w:rPr>
  </w:style>
  <w:style w:type="character" w:customStyle="1" w:styleId="EndNoteBibliographyTitleChar">
    <w:name w:val="EndNote Bibliography Title Char"/>
    <w:basedOn w:val="DefaultParagraphFont"/>
    <w:link w:val="EndNoteBibliographyTitle"/>
    <w:rsid w:val="00F85562"/>
    <w:rPr>
      <w:rFonts w:ascii="Al Bayan" w:hAnsi="Al Bayan" w:cs="Al Bayan"/>
      <w:sz w:val="32"/>
    </w:rPr>
  </w:style>
  <w:style w:type="character" w:styleId="UnresolvedMention">
    <w:name w:val="Unresolved Mention"/>
    <w:basedOn w:val="DefaultParagraphFont"/>
    <w:uiPriority w:val="99"/>
    <w:semiHidden/>
    <w:unhideWhenUsed/>
    <w:rsid w:val="00F85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438">
      <w:bodyDiv w:val="1"/>
      <w:marLeft w:val="0"/>
      <w:marRight w:val="0"/>
      <w:marTop w:val="0"/>
      <w:marBottom w:val="0"/>
      <w:divBdr>
        <w:top w:val="none" w:sz="0" w:space="0" w:color="auto"/>
        <w:left w:val="none" w:sz="0" w:space="0" w:color="auto"/>
        <w:bottom w:val="none" w:sz="0" w:space="0" w:color="auto"/>
        <w:right w:val="none" w:sz="0" w:space="0" w:color="auto"/>
      </w:divBdr>
    </w:div>
    <w:div w:id="28577842">
      <w:bodyDiv w:val="1"/>
      <w:marLeft w:val="0"/>
      <w:marRight w:val="0"/>
      <w:marTop w:val="0"/>
      <w:marBottom w:val="0"/>
      <w:divBdr>
        <w:top w:val="none" w:sz="0" w:space="0" w:color="auto"/>
        <w:left w:val="none" w:sz="0" w:space="0" w:color="auto"/>
        <w:bottom w:val="none" w:sz="0" w:space="0" w:color="auto"/>
        <w:right w:val="none" w:sz="0" w:space="0" w:color="auto"/>
      </w:divBdr>
    </w:div>
    <w:div w:id="297301400">
      <w:bodyDiv w:val="1"/>
      <w:marLeft w:val="0"/>
      <w:marRight w:val="0"/>
      <w:marTop w:val="0"/>
      <w:marBottom w:val="0"/>
      <w:divBdr>
        <w:top w:val="none" w:sz="0" w:space="0" w:color="auto"/>
        <w:left w:val="none" w:sz="0" w:space="0" w:color="auto"/>
        <w:bottom w:val="none" w:sz="0" w:space="0" w:color="auto"/>
        <w:right w:val="none" w:sz="0" w:space="0" w:color="auto"/>
      </w:divBdr>
    </w:div>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 w:id="17679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ict.usc.edu/~gordon/downloads/COPA-questions-dev.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9667</Words>
  <Characters>55108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113</cp:revision>
  <dcterms:created xsi:type="dcterms:W3CDTF">2020-12-04T19:11:00Z</dcterms:created>
  <dcterms:modified xsi:type="dcterms:W3CDTF">2020-12-05T21:04:00Z</dcterms:modified>
</cp:coreProperties>
</file>