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9B1A82" w:rsidRPr="00167DBA" w:rsidRDefault="00A6577F">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9B1A82" w:rsidRPr="00167DBA" w:rsidRDefault="002C177D">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9B1A82" w:rsidRPr="00A95E5B" w:rsidRDefault="00A6577F">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9B1A82" w:rsidRPr="00A95E5B" w:rsidRDefault="002C177D">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r w:rsidRPr="00CD0DCF">
        <w:t xml:space="preserve">Winograd </w:t>
      </w:r>
      <w:r>
        <w:t>Schema Challenge</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 xml:space="preserve">Neufeld E. and </w:t>
      </w:r>
      <w:proofErr w:type="spellStart"/>
      <w:r w:rsidR="00511B2C" w:rsidRPr="00511B2C">
        <w:rPr>
          <w:rFonts w:ascii="Calibri" w:hAnsi="Calibri" w:cs="Calibri"/>
        </w:rPr>
        <w:t>Finnestad</w:t>
      </w:r>
      <w:proofErr w:type="spellEnd"/>
      <w:r w:rsidR="00511B2C" w:rsidRPr="00511B2C">
        <w:rPr>
          <w:rFonts w:ascii="Calibri" w:hAnsi="Calibri" w:cs="Calibri"/>
        </w:rPr>
        <w:t xml:space="preserve">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 xml:space="preserve">Neufeld E. and </w:t>
      </w:r>
      <w:proofErr w:type="spellStart"/>
      <w:r w:rsidR="00AA7CAE" w:rsidRPr="00AA7CAE">
        <w:rPr>
          <w:rFonts w:ascii="Calibri" w:hAnsi="Calibri" w:cs="Calibri"/>
        </w:rPr>
        <w:t>Finnestad</w:t>
      </w:r>
      <w:proofErr w:type="spellEnd"/>
      <w:r w:rsidR="00AA7CAE" w:rsidRPr="00AA7CAE">
        <w:rPr>
          <w:rFonts w:ascii="Calibri" w:hAnsi="Calibri" w:cs="Calibri"/>
        </w:rPr>
        <w:t xml:space="preserve">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lastRenderedPageBreak/>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 xml:space="preserve">Neufeld E. and </w:t>
      </w:r>
      <w:proofErr w:type="spellStart"/>
      <w:r w:rsidR="00F75DD7" w:rsidRPr="00F75DD7">
        <w:rPr>
          <w:rFonts w:ascii="Calibri" w:hAnsi="Calibri" w:cs="Calibri"/>
        </w:rPr>
        <w:t>Finnestad</w:t>
      </w:r>
      <w:proofErr w:type="spellEnd"/>
      <w:r w:rsidR="00F75DD7" w:rsidRPr="00F75DD7">
        <w:rPr>
          <w:rFonts w:ascii="Calibri" w:hAnsi="Calibri" w:cs="Calibri"/>
        </w:rPr>
        <w:t xml:space="preserve">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r>
        <w:t xml:space="preserve">Choices of Plausible Alternatives (COPA)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 xml:space="preserve">Another popular approach to </w:t>
      </w:r>
      <w:proofErr w:type="spellStart"/>
      <w:r>
        <w:t>commonsense</w:t>
      </w:r>
      <w:proofErr w:type="spellEnd"/>
      <w:r>
        <w:t xml:space="preserve"> causal reasoning is the Choices of Plausible Alternatives (COPA) dataset. The COPA dataset was developed by Andrew Gordon as an evaluation tool for “open-domain </w:t>
      </w:r>
      <w:proofErr w:type="spellStart"/>
      <w:r>
        <w:t>commonsense</w:t>
      </w:r>
      <w:proofErr w:type="spellEnd"/>
      <w:r>
        <w:t xml:space="preserv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 xml:space="preserve">Although RTE was a great evaluation tool for inferential capability, it was found to be much less useful for evaluating </w:t>
      </w:r>
      <w:proofErr w:type="spellStart"/>
      <w:r>
        <w:t>commonsense</w:t>
      </w:r>
      <w:proofErr w:type="spellEnd"/>
      <w:r>
        <w:t xml:space="preserv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 xml:space="preserve">In order to test for </w:t>
      </w:r>
      <w:proofErr w:type="spellStart"/>
      <w:r>
        <w:t>commonsense</w:t>
      </w:r>
      <w:proofErr w:type="spellEnd"/>
      <w:r>
        <w:t xml:space="preserv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r>
        <w:t>Scenario 1 – (Forward causal reasoning)</w:t>
      </w:r>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r>
        <w:t>Scenario 2 – (Backward causal reasoning)</w:t>
      </w:r>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lastRenderedPageBreak/>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This intuition or “</w:t>
      </w:r>
      <w:proofErr w:type="spellStart"/>
      <w:r>
        <w:rPr>
          <w:color w:val="000000" w:themeColor="text1"/>
        </w:rPr>
        <w:t>commonsense</w:t>
      </w:r>
      <w:proofErr w:type="spellEnd"/>
      <w:r>
        <w:rPr>
          <w:color w:val="000000" w:themeColor="text1"/>
        </w:rPr>
        <w:t xml:space="preserv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 xml:space="preserve">The COPA dataset provides a way to test a system’s or AI’s ability to make </w:t>
      </w:r>
      <w:proofErr w:type="spellStart"/>
      <w:r>
        <w:rPr>
          <w:color w:val="000000" w:themeColor="text1"/>
        </w:rPr>
        <w:t>commonsense</w:t>
      </w:r>
      <w:proofErr w:type="spellEnd"/>
      <w:r>
        <w:rPr>
          <w:color w:val="000000" w:themeColor="text1"/>
        </w:rPr>
        <w:t xml:space="preserv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xml:space="preserve">. Interestingly, the dataset was compiled in such a way that when tested on human </w:t>
      </w:r>
      <w:proofErr w:type="spellStart"/>
      <w:r>
        <w:rPr>
          <w:color w:val="000000" w:themeColor="text1"/>
        </w:rPr>
        <w:t>raters</w:t>
      </w:r>
      <w:proofErr w:type="spellEnd"/>
      <w:r>
        <w:rPr>
          <w:color w:val="000000" w:themeColor="text1"/>
        </w:rPr>
        <w:t xml:space="preserve"> the </w:t>
      </w:r>
      <w:proofErr w:type="spellStart"/>
      <w:r>
        <w:rPr>
          <w:color w:val="000000" w:themeColor="text1"/>
        </w:rPr>
        <w:t>raters</w:t>
      </w:r>
      <w:proofErr w:type="spellEnd"/>
      <w:r>
        <w:rPr>
          <w:color w:val="000000" w:themeColor="text1"/>
        </w:rPr>
        <w:t xml:space="preserve">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70009910" w14:textId="2B6F04B5" w:rsidR="00F140AB" w:rsidRPr="004B2109" w:rsidRDefault="003D091A" w:rsidP="004B2109">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w:t>
      </w:r>
      <w:proofErr w:type="spellStart"/>
      <w:r>
        <w:rPr>
          <w:color w:val="000000" w:themeColor="text1"/>
        </w:rPr>
        <w:t>commonsense</w:t>
      </w:r>
      <w:proofErr w:type="spellEnd"/>
      <w:r>
        <w:rPr>
          <w:color w:val="000000" w:themeColor="text1"/>
        </w:rPr>
        <w:t>”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0FD62DED" w14:textId="25834E62" w:rsidR="00A95E5B" w:rsidRPr="00A95E5B" w:rsidRDefault="00A95E5B" w:rsidP="00A95E5B">
      <w:pPr>
        <w:pStyle w:val="Heading1"/>
      </w:pPr>
      <w:r w:rsidRPr="00A95E5B">
        <w:t>E</w:t>
      </w:r>
      <w:r w:rsidR="00E03407">
        <w:t>x</w:t>
      </w:r>
      <w:r w:rsidRPr="00A95E5B">
        <w:t>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proofErr w:type="spellStart"/>
      <w:r w:rsidR="00326AAF" w:rsidRPr="00326AAF">
        <w:rPr>
          <w:rFonts w:ascii="Calibri" w:hAnsi="Calibri" w:cs="Calibri"/>
        </w:rPr>
        <w:t>Grosan</w:t>
      </w:r>
      <w:proofErr w:type="spellEnd"/>
      <w:r w:rsidR="00326AAF" w:rsidRPr="00326AAF">
        <w:rPr>
          <w:rFonts w:ascii="Calibri" w:hAnsi="Calibri" w:cs="Calibri"/>
        </w:rPr>
        <w:t xml:space="preserve">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proofErr w:type="spellStart"/>
      <w:proofErr w:type="gramStart"/>
      <w:r>
        <w:t>IsColour</w:t>
      </w:r>
      <w:proofErr w:type="spellEnd"/>
      <w:r>
        <w:t>(</w:t>
      </w:r>
      <w:proofErr w:type="gramEnd"/>
      <w:r>
        <w:t>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48F63AD2" w:rsidR="0048280E" w:rsidRPr="00AE71DD" w:rsidRDefault="0048280E" w:rsidP="0048280E">
      <w:pPr>
        <w:rPr>
          <w:rFonts w:ascii="AppleSystemUIFont" w:hAnsi="AppleSystemUIFont" w:cs="AppleSystemUIFont"/>
        </w:rPr>
      </w:pPr>
      <w:r>
        <w:rPr>
          <w:rFonts w:ascii="Helvetica" w:hAnsi="Helvetica" w:cs="Helvetica"/>
          <w:color w:val="000000"/>
        </w:rPr>
        <w:t>Word count: 6</w:t>
      </w:r>
      <w:r w:rsidR="00003009">
        <w:rPr>
          <w:rFonts w:ascii="Helvetica" w:hAnsi="Helvetica" w:cs="Helvetica"/>
          <w:color w:val="000000"/>
        </w:rPr>
        <w:t>24 (in</w:t>
      </w:r>
      <w:r w:rsidR="00317973">
        <w:rPr>
          <w:rFonts w:ascii="Helvetica" w:hAnsi="Helvetica" w:cs="Helvetica"/>
          <w:color w:val="000000"/>
        </w:rPr>
        <w:t>c.</w:t>
      </w:r>
      <w:r w:rsidR="00003009">
        <w:rPr>
          <w:rFonts w:ascii="Helvetica" w:hAnsi="Helvetica" w:cs="Helvetica"/>
          <w:color w:val="000000"/>
        </w:rPr>
        <w:t xml:space="preserve"> formulae)</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 xml:space="preserve">48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lastRenderedPageBreak/>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sidRPr="00117AEF">
        <w:t>x,y</w:t>
      </w:r>
      <w:proofErr w:type="spellEnd"/>
      <w:proofErr w:type="gramEnd"/>
      <w:r w:rsidRPr="00117AEF">
        <w:t>) represents ‘x runs from y’ and C(</w:t>
      </w:r>
      <w:proofErr w:type="spellStart"/>
      <w:r w:rsidRPr="00117AEF">
        <w:t>x,y</w:t>
      </w:r>
      <w:proofErr w:type="spellEnd"/>
      <w:r w:rsidRPr="00117AEF">
        <w:t>)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 xml:space="preserve">We will now represent some of the facts that are required to know the answer in logical formula. In order to do this we need to define one more relation, </w:t>
      </w:r>
      <w:proofErr w:type="spellStart"/>
      <w:r w:rsidRPr="00117AEF">
        <w:t>Tou</w:t>
      </w:r>
      <w:proofErr w:type="spellEnd"/>
      <w:r w:rsidRPr="00117AEF">
        <w:t>(</w:t>
      </w:r>
      <w:proofErr w:type="spellStart"/>
      <w:proofErr w:type="gramStart"/>
      <w:r w:rsidRPr="00117AEF">
        <w:t>x,y</w:t>
      </w:r>
      <w:proofErr w:type="spellEnd"/>
      <w:proofErr w:type="gramEnd"/>
      <w:r w:rsidRPr="00117AEF">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lastRenderedPageBreak/>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proofErr w:type="gramStart"/>
      <w:r w:rsidRPr="00290BC4">
        <w:rPr>
          <w:sz w:val="24"/>
          <w:szCs w:val="24"/>
          <w:lang w:val="fr-FR"/>
        </w:rPr>
        <w:t>x,y</w:t>
      </w:r>
      <w:proofErr w:type="spellEnd"/>
      <w:proofErr w:type="gram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28972F4C" w:rsidR="00092092" w:rsidRDefault="00092092" w:rsidP="00117AEF">
      <w:r w:rsidRPr="00117AEF">
        <w:t>If one person is trying to touch another the first person is “it”.</w:t>
      </w:r>
    </w:p>
    <w:p w14:paraId="4AFE3C5E" w14:textId="77777777" w:rsidR="00003009" w:rsidRPr="00117AEF" w:rsidRDefault="00003009" w:rsidP="00117AEF"/>
    <w:p w14:paraId="5F50614A" w14:textId="0FCA95FD" w:rsidR="00092092"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proofErr w:type="gramStart"/>
      <w:r w:rsidRPr="00290BC4">
        <w:rPr>
          <w:sz w:val="24"/>
          <w:szCs w:val="24"/>
          <w:lang w:val="fr-FR"/>
        </w:rPr>
        <w:t>x,y</w:t>
      </w:r>
      <w:proofErr w:type="spellEnd"/>
      <w:proofErr w:type="gramEnd"/>
      <w:r w:rsidRPr="00290BC4">
        <w:rPr>
          <w:sz w:val="24"/>
          <w:szCs w:val="24"/>
          <w:lang w:val="fr-FR"/>
        </w:rPr>
        <w:t>)) -&gt; IT(x))</w:t>
      </w:r>
    </w:p>
    <w:p w14:paraId="3921B361" w14:textId="608FBA14" w:rsidR="00003009" w:rsidRDefault="00003009" w:rsidP="00092092">
      <w:pPr>
        <w:pStyle w:val="ListParagraph"/>
        <w:jc w:val="center"/>
        <w:rPr>
          <w:sz w:val="24"/>
          <w:szCs w:val="24"/>
          <w:lang w:val="fr-FR"/>
        </w:rPr>
      </w:pPr>
    </w:p>
    <w:p w14:paraId="04E27872" w14:textId="0740AF22" w:rsidR="00003009" w:rsidRPr="007C10FC" w:rsidRDefault="00003009" w:rsidP="00003009">
      <w:r w:rsidRPr="007C10FC">
        <w:t xml:space="preserve">Word </w:t>
      </w:r>
      <w:proofErr w:type="gramStart"/>
      <w:r w:rsidRPr="007C10FC">
        <w:t>count :</w:t>
      </w:r>
      <w:proofErr w:type="gramEnd"/>
      <w:r w:rsidRPr="007C10FC">
        <w:t xml:space="preserve"> 569 (inc. formulae)</w:t>
      </w:r>
    </w:p>
    <w:bookmarkEnd w:id="1"/>
    <w:p w14:paraId="17D8D4C6" w14:textId="77777777" w:rsidR="00A95E5B" w:rsidRPr="007C10FC" w:rsidRDefault="00A95E5B" w:rsidP="00A95E5B">
      <w:pPr>
        <w:pStyle w:val="Heading2"/>
      </w:pPr>
    </w:p>
    <w:p w14:paraId="7A3C8258" w14:textId="77777777" w:rsidR="006D5715" w:rsidRDefault="00A95E5B" w:rsidP="00A95E5B">
      <w:pPr>
        <w:pStyle w:val="Heading2"/>
      </w:pPr>
      <w:r w:rsidRPr="00A95E5B">
        <w:t>Example 3</w:t>
      </w:r>
      <w:r w:rsidR="006D5715">
        <w:t xml:space="preserve"> </w:t>
      </w:r>
    </w:p>
    <w:p w14:paraId="7A3B8B6A" w14:textId="77777777" w:rsidR="006D5715" w:rsidRDefault="006D5715" w:rsidP="00A95E5B">
      <w:pPr>
        <w:pStyle w:val="Heading2"/>
      </w:pPr>
    </w:p>
    <w:p w14:paraId="69208172" w14:textId="596062E8" w:rsidR="00167DBA" w:rsidRPr="006D5715" w:rsidRDefault="006D5715" w:rsidP="006D5715">
      <w:pPr>
        <w:rPr>
          <w:b/>
          <w:bCs/>
        </w:rPr>
      </w:pPr>
      <w:r w:rsidRPr="006D5715">
        <w:rPr>
          <w:b/>
          <w:bCs/>
        </w:rPr>
        <w:t>Word Count: 667</w:t>
      </w:r>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w:t>
      </w:r>
      <w:proofErr w:type="spellStart"/>
      <w:r w:rsidR="002C3431">
        <w:rPr>
          <w:color w:val="000000" w:themeColor="text1"/>
        </w:rPr>
        <w:t>commonsense</w:t>
      </w:r>
      <w:proofErr w:type="spellEnd"/>
      <w:r w:rsidR="002C3431">
        <w:rPr>
          <w:color w:val="000000" w:themeColor="text1"/>
        </w:rPr>
        <w:t>”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r>
        <w:t>Logical Formula</w:t>
      </w:r>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w:t>
      </w:r>
      <w:r w:rsidR="00D82B50">
        <w:rPr>
          <w:color w:val="000000" w:themeColor="text1"/>
        </w:rPr>
        <w:lastRenderedPageBreak/>
        <w:t>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w:t>
      </w:r>
      <w:proofErr w:type="spellStart"/>
      <w:r>
        <w:rPr>
          <w:color w:val="000000" w:themeColor="text1"/>
        </w:rPr>
        <w:t>LightSource</w:t>
      </w:r>
      <w:proofErr w:type="spellEnd"/>
      <w:r>
        <w:rPr>
          <w:color w:val="000000" w:themeColor="text1"/>
        </w:rPr>
        <w:t>(sun))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w:t>
      </w:r>
      <w:proofErr w:type="spellStart"/>
      <w:r w:rsidR="00A97EA0">
        <w:rPr>
          <w:color w:val="000000" w:themeColor="text1"/>
        </w:rPr>
        <w:t>LightSource</w:t>
      </w:r>
      <w:proofErr w:type="spellEnd"/>
      <w:r w:rsidR="00A97EA0">
        <w:rPr>
          <w:color w:val="000000" w:themeColor="text1"/>
        </w:rPr>
        <w:t>(x))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w:t>
      </w:r>
      <w:proofErr w:type="spellStart"/>
      <w:r>
        <w:rPr>
          <w:color w:val="000000" w:themeColor="text1"/>
        </w:rPr>
        <w:t>LightSource</w:t>
      </w:r>
      <w:proofErr w:type="spellEnd"/>
      <w:r>
        <w:rPr>
          <w:color w:val="000000" w:themeColor="text1"/>
        </w:rPr>
        <w:t>(x) &amp; All y (</w:t>
      </w:r>
      <w:proofErr w:type="spellStart"/>
      <w:r>
        <w:rPr>
          <w:color w:val="000000" w:themeColor="text1"/>
        </w:rPr>
        <w:t>LightSource</w:t>
      </w:r>
      <w:proofErr w:type="spellEnd"/>
      <w:r>
        <w:rPr>
          <w:color w:val="000000" w:themeColor="text1"/>
        </w:rPr>
        <w:t>(y)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Pr="00003009" w:rsidRDefault="00A97EA0" w:rsidP="00A97EA0">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z </w:t>
      </w:r>
      <w:proofErr w:type="spellStart"/>
      <w:r w:rsidRPr="00003009">
        <w:rPr>
          <w:color w:val="000000" w:themeColor="text1"/>
          <w:lang w:val="fr-FR"/>
        </w:rPr>
        <w:t>Exists</w:t>
      </w:r>
      <w:proofErr w:type="spellEnd"/>
      <w:r w:rsidRPr="00003009">
        <w:rPr>
          <w:color w:val="000000" w:themeColor="text1"/>
          <w:lang w:val="fr-FR"/>
        </w:rPr>
        <w:t xml:space="preserve"> y (</w:t>
      </w:r>
      <w:r w:rsidR="009B1A82" w:rsidRPr="00003009">
        <w:rPr>
          <w:color w:val="000000" w:themeColor="text1"/>
          <w:lang w:val="fr-FR"/>
        </w:rPr>
        <w:t xml:space="preserve">Object(y) &amp; Surface(z) -&gt; </w:t>
      </w:r>
      <w:proofErr w:type="spellStart"/>
      <w:r w:rsidR="009B1A82" w:rsidRPr="00003009">
        <w:rPr>
          <w:color w:val="000000" w:themeColor="text1"/>
          <w:lang w:val="fr-FR"/>
        </w:rPr>
        <w:t>BehindOf</w:t>
      </w:r>
      <w:proofErr w:type="spellEnd"/>
      <w:r w:rsidR="009B1A82" w:rsidRPr="00003009">
        <w:rPr>
          <w:color w:val="000000" w:themeColor="text1"/>
          <w:lang w:val="fr-FR"/>
        </w:rPr>
        <w:t>(</w:t>
      </w:r>
      <w:proofErr w:type="spellStart"/>
      <w:proofErr w:type="gramStart"/>
      <w:r w:rsidR="009B1A82" w:rsidRPr="00003009">
        <w:rPr>
          <w:color w:val="000000" w:themeColor="text1"/>
          <w:lang w:val="fr-FR"/>
        </w:rPr>
        <w:t>z,y</w:t>
      </w:r>
      <w:proofErr w:type="spellEnd"/>
      <w:proofErr w:type="gramEnd"/>
      <w:r w:rsidR="009B1A82" w:rsidRPr="00003009">
        <w:rPr>
          <w:color w:val="000000" w:themeColor="text1"/>
          <w:lang w:val="fr-FR"/>
        </w:rPr>
        <w:t>))</w:t>
      </w:r>
    </w:p>
    <w:p w14:paraId="4435F17C" w14:textId="647DF836" w:rsidR="009B1A82" w:rsidRPr="00003009" w:rsidRDefault="009B1A82" w:rsidP="00A97EA0">
      <w:pPr>
        <w:jc w:val="center"/>
        <w:rPr>
          <w:color w:val="000000" w:themeColor="text1"/>
          <w:lang w:val="fr-FR"/>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Pr="00003009" w:rsidRDefault="009B1A82" w:rsidP="009B1A82">
      <w:pPr>
        <w:jc w:val="center"/>
        <w:rPr>
          <w:color w:val="000000" w:themeColor="text1"/>
          <w:lang w:val="fr-FR"/>
        </w:rPr>
      </w:pPr>
      <w:proofErr w:type="spellStart"/>
      <w:r w:rsidRPr="00003009">
        <w:rPr>
          <w:color w:val="000000" w:themeColor="text1"/>
          <w:lang w:val="fr-FR"/>
        </w:rPr>
        <w:t>Exists</w:t>
      </w:r>
      <w:proofErr w:type="spellEnd"/>
      <w:r w:rsidRPr="00003009">
        <w:rPr>
          <w:color w:val="000000" w:themeColor="text1"/>
          <w:lang w:val="fr-FR"/>
        </w:rPr>
        <w:t xml:space="preserve"> x </w:t>
      </w:r>
      <w:proofErr w:type="spellStart"/>
      <w:r w:rsidRPr="00003009">
        <w:rPr>
          <w:color w:val="000000" w:themeColor="text1"/>
          <w:lang w:val="fr-FR"/>
        </w:rPr>
        <w:t>Exists</w:t>
      </w:r>
      <w:proofErr w:type="spellEnd"/>
      <w:r w:rsidRPr="00003009">
        <w:rPr>
          <w:color w:val="000000" w:themeColor="text1"/>
          <w:lang w:val="fr-FR"/>
        </w:rPr>
        <w:t xml:space="preserve"> y (</w:t>
      </w:r>
      <w:proofErr w:type="spellStart"/>
      <w:r w:rsidRPr="00003009">
        <w:rPr>
          <w:color w:val="000000" w:themeColor="text1"/>
          <w:lang w:val="fr-FR"/>
        </w:rPr>
        <w:t>LightSource</w:t>
      </w:r>
      <w:proofErr w:type="spellEnd"/>
      <w:r w:rsidRPr="00003009">
        <w:rPr>
          <w:color w:val="000000" w:themeColor="text1"/>
          <w:lang w:val="fr-FR"/>
        </w:rPr>
        <w:t>(x) &amp; Object(y) -&gt; Obscures(</w:t>
      </w:r>
      <w:proofErr w:type="spellStart"/>
      <w:proofErr w:type="gramStart"/>
      <w:r w:rsidRPr="00003009">
        <w:rPr>
          <w:color w:val="000000" w:themeColor="text1"/>
          <w:lang w:val="fr-FR"/>
        </w:rPr>
        <w:t>y,x</w:t>
      </w:r>
      <w:proofErr w:type="spellEnd"/>
      <w:proofErr w:type="gramEnd"/>
      <w:r w:rsidRPr="00003009">
        <w:rPr>
          <w:color w:val="000000" w:themeColor="text1"/>
          <w:lang w:val="fr-FR"/>
        </w:rPr>
        <w:t>))</w:t>
      </w:r>
    </w:p>
    <w:p w14:paraId="06406CAB" w14:textId="77777777" w:rsidR="00032672" w:rsidRPr="00003009" w:rsidRDefault="00032672" w:rsidP="009B1A82">
      <w:pPr>
        <w:rPr>
          <w:color w:val="000000" w:themeColor="text1"/>
          <w:lang w:val="fr-FR"/>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sidR="009B1A82">
        <w:rPr>
          <w:color w:val="000000" w:themeColor="text1"/>
        </w:rPr>
        <w:t>BehindOf</w:t>
      </w:r>
      <w:proofErr w:type="spellEnd"/>
      <w:r w:rsidR="009B1A82">
        <w:rPr>
          <w:color w:val="000000" w:themeColor="text1"/>
        </w:rPr>
        <w:t>(</w:t>
      </w:r>
      <w:proofErr w:type="spellStart"/>
      <w:proofErr w:type="gramStart"/>
      <w:r w:rsidR="009B1A82">
        <w:rPr>
          <w:color w:val="000000" w:themeColor="text1"/>
        </w:rPr>
        <w:t>z,y</w:t>
      </w:r>
      <w:proofErr w:type="spellEnd"/>
      <w:proofErr w:type="gramEnd"/>
      <w:r w:rsidR="009B1A82">
        <w:rPr>
          <w:color w:val="000000" w:themeColor="text1"/>
        </w:rPr>
        <w:t>) &amp; Obscures</w:t>
      </w:r>
      <w:r w:rsidR="005B56D0">
        <w:rPr>
          <w:color w:val="000000" w:themeColor="text1"/>
        </w:rPr>
        <w:t>(</w:t>
      </w:r>
      <w:proofErr w:type="spellStart"/>
      <w:r>
        <w:rPr>
          <w:color w:val="000000" w:themeColor="text1"/>
        </w:rPr>
        <w:t>y</w:t>
      </w:r>
      <w:r w:rsidR="005B56D0">
        <w:rPr>
          <w:color w:val="000000" w:themeColor="text1"/>
        </w:rPr>
        <w:t>,</w:t>
      </w:r>
      <w:r>
        <w:rPr>
          <w:color w:val="000000" w:themeColor="text1"/>
        </w:rPr>
        <w:t>x</w:t>
      </w:r>
      <w:proofErr w:type="spellEnd"/>
      <w:r w:rsidR="005B56D0">
        <w:rPr>
          <w:color w:val="000000" w:themeColor="text1"/>
        </w:rPr>
        <w:t xml:space="preserve">) -&gt; </w:t>
      </w:r>
      <w:proofErr w:type="spellStart"/>
      <w:r w:rsidR="005B56D0">
        <w:rPr>
          <w:color w:val="000000" w:themeColor="text1"/>
        </w:rPr>
        <w:t>CastShadow</w:t>
      </w:r>
      <w:proofErr w:type="spellEnd"/>
      <w:r w:rsidR="005B56D0">
        <w:rPr>
          <w:color w:val="000000" w:themeColor="text1"/>
        </w:rPr>
        <w:t>(</w:t>
      </w:r>
      <w:proofErr w:type="spellStart"/>
      <w:r>
        <w:rPr>
          <w:color w:val="000000" w:themeColor="text1"/>
        </w:rPr>
        <w:t>y</w:t>
      </w:r>
      <w:r w:rsidR="005B56D0">
        <w:rPr>
          <w:color w:val="000000" w:themeColor="text1"/>
        </w:rPr>
        <w:t>,z</w:t>
      </w:r>
      <w:proofErr w:type="spellEnd"/>
      <w:r w:rsidR="005B56D0">
        <w:rPr>
          <w:color w:val="000000" w:themeColor="text1"/>
        </w:rPr>
        <w:t>)</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 xml:space="preserve">(x)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3C273D58" w14:textId="5986400B"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an object, a surface, the surface is behind the object, but the object is </w:t>
      </w:r>
      <w:r w:rsidRPr="00762DCD">
        <w:rPr>
          <w:b/>
          <w:bCs/>
          <w:color w:val="000000" w:themeColor="text1"/>
        </w:rPr>
        <w:t>not</w:t>
      </w:r>
      <w:r>
        <w:rPr>
          <w:color w:val="000000" w:themeColor="text1"/>
        </w:rPr>
        <w:t xml:space="preserve"> in front of the light source then the object will </w:t>
      </w:r>
      <w:r w:rsidRPr="00762DCD">
        <w:rPr>
          <w:b/>
          <w:bCs/>
          <w:color w:val="000000" w:themeColor="text1"/>
        </w:rPr>
        <w:t>not</w:t>
      </w:r>
      <w:r>
        <w:rPr>
          <w:color w:val="000000" w:themeColor="text1"/>
        </w:rPr>
        <w:t xml:space="preserve"> 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All x All y All z (</w:t>
      </w:r>
      <w:proofErr w:type="spellStart"/>
      <w:r>
        <w:rPr>
          <w:color w:val="000000" w:themeColor="text1"/>
        </w:rPr>
        <w:t>LightSource</w:t>
      </w:r>
      <w:proofErr w:type="spellEnd"/>
      <w:r>
        <w:rPr>
          <w:color w:val="000000" w:themeColor="text1"/>
        </w:rPr>
        <w:t>(x) &amp; Object(y) &amp; Surface(z) &amp; -</w:t>
      </w:r>
      <w:proofErr w:type="spellStart"/>
      <w:r>
        <w:rPr>
          <w:color w:val="000000" w:themeColor="text1"/>
        </w:rPr>
        <w:t>BehindOf</w:t>
      </w:r>
      <w:proofErr w:type="spellEnd"/>
      <w:r>
        <w:rPr>
          <w:color w:val="000000" w:themeColor="text1"/>
        </w:rPr>
        <w:t>(</w:t>
      </w:r>
      <w:proofErr w:type="spellStart"/>
      <w:proofErr w:type="gramStart"/>
      <w:r>
        <w:rPr>
          <w:color w:val="000000" w:themeColor="text1"/>
        </w:rPr>
        <w:t>z,y</w:t>
      </w:r>
      <w:proofErr w:type="spellEnd"/>
      <w:proofErr w:type="gramEnd"/>
      <w:r>
        <w:rPr>
          <w:color w:val="000000" w:themeColor="text1"/>
        </w:rPr>
        <w:t>) &amp; Obscures(</w:t>
      </w:r>
      <w:proofErr w:type="spellStart"/>
      <w:r>
        <w:rPr>
          <w:color w:val="000000" w:themeColor="text1"/>
        </w:rPr>
        <w:t>y,x</w:t>
      </w:r>
      <w:proofErr w:type="spellEnd"/>
      <w:r>
        <w:rPr>
          <w:color w:val="000000" w:themeColor="text1"/>
        </w:rPr>
        <w:t xml:space="preserve">) -&gt; </w:t>
      </w:r>
    </w:p>
    <w:p w14:paraId="54E39645" w14:textId="77777777" w:rsidR="00762DCD" w:rsidRDefault="00762DCD" w:rsidP="00762DCD">
      <w:pPr>
        <w:jc w:val="center"/>
        <w:rPr>
          <w:color w:val="000000" w:themeColor="text1"/>
        </w:rPr>
      </w:pPr>
      <w:r>
        <w:rPr>
          <w:color w:val="000000" w:themeColor="text1"/>
        </w:rPr>
        <w:t>-</w:t>
      </w:r>
      <w:proofErr w:type="spellStart"/>
      <w:r>
        <w:rPr>
          <w:color w:val="000000" w:themeColor="text1"/>
        </w:rPr>
        <w:t>CastShadow</w:t>
      </w:r>
      <w:proofErr w:type="spellEnd"/>
      <w:r>
        <w:rPr>
          <w:color w:val="000000" w:themeColor="text1"/>
        </w:rPr>
        <w:t>(</w:t>
      </w:r>
      <w:proofErr w:type="spellStart"/>
      <w:proofErr w:type="gramStart"/>
      <w:r>
        <w:rPr>
          <w:color w:val="000000" w:themeColor="text1"/>
        </w:rPr>
        <w:t>y,z</w:t>
      </w:r>
      <w:proofErr w:type="spellEnd"/>
      <w:proofErr w:type="gramEnd"/>
      <w:r>
        <w:rPr>
          <w:color w:val="000000" w:themeColor="text1"/>
        </w:rPr>
        <w:t>))</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 if there is a light source, an object, a surface, the object is in front of the light source, but</w:t>
      </w:r>
      <w:r w:rsidRPr="00762DCD">
        <w:rPr>
          <w:color w:val="000000" w:themeColor="text1"/>
        </w:rPr>
        <w:t xml:space="preserve"> </w:t>
      </w:r>
      <w:r>
        <w:rPr>
          <w:color w:val="000000" w:themeColor="text1"/>
        </w:rPr>
        <w:t xml:space="preserve">the surface is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r w:rsidRPr="00A95E5B">
        <w:lastRenderedPageBreak/>
        <w:t>Co</w:t>
      </w:r>
      <w:r w:rsidR="008E147B">
        <w:t>n</w:t>
      </w:r>
      <w:r w:rsidRPr="00A95E5B">
        <w:t>clusion</w:t>
      </w:r>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proofErr w:type="spellStart"/>
      <w:r w:rsidR="00326AAF" w:rsidRPr="00326AAF">
        <w:rPr>
          <w:rFonts w:ascii="Calibri" w:hAnsi="Calibri" w:cs="Calibri"/>
        </w:rPr>
        <w:t>Grosan</w:t>
      </w:r>
      <w:proofErr w:type="spellEnd"/>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proofErr w:type="spellStart"/>
      <w:r w:rsidR="0061132C" w:rsidRPr="00326AAF">
        <w:rPr>
          <w:rFonts w:ascii="Calibri" w:hAnsi="Calibri" w:cs="Calibri"/>
        </w:rPr>
        <w:t>Grosan</w:t>
      </w:r>
      <w:proofErr w:type="spellEnd"/>
      <w:r w:rsidR="0061132C" w:rsidRPr="00326AAF">
        <w:rPr>
          <w:rFonts w:ascii="Calibri" w:hAnsi="Calibri" w:cs="Calibri"/>
        </w:rPr>
        <w:t xml:space="preserve">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w:t>
      </w:r>
      <w:proofErr w:type="spellStart"/>
      <w:r w:rsidR="004B3EBC">
        <w:rPr>
          <w:rFonts w:ascii="Calibri" w:hAnsi="Calibri" w:cs="Calibri"/>
        </w:rPr>
        <w:t>Bollans</w:t>
      </w:r>
      <w:proofErr w:type="spellEnd"/>
      <w:r w:rsidR="004B3EBC">
        <w:rPr>
          <w:rFonts w:ascii="Calibri" w:hAnsi="Calibri" w:cs="Calibri"/>
        </w:rPr>
        <w:t xml:space="preserve">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381BC796"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 xml:space="preserve">to human thought processes, and so a computer may appear to be ‘thinking’ like a human, but really be following none of the same processes (the human </w:t>
      </w:r>
      <w:r w:rsidR="00AE2BD9">
        <w:rPr>
          <w:rFonts w:ascii="Calibri" w:hAnsi="Calibri" w:cs="Calibri"/>
        </w:rPr>
        <w:lastRenderedPageBreak/>
        <w:t>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w:t>
      </w:r>
      <w:proofErr w:type="spellStart"/>
      <w:r w:rsidR="00AE2BD9">
        <w:rPr>
          <w:rFonts w:ascii="Calibri" w:hAnsi="Calibri" w:cs="Calibri"/>
        </w:rPr>
        <w:t>Dranovsky</w:t>
      </w:r>
      <w:proofErr w:type="spellEnd"/>
      <w:r w:rsidR="00AE2BD9">
        <w:rPr>
          <w:rFonts w:ascii="Calibri" w:hAnsi="Calibri" w:cs="Calibri"/>
        </w:rPr>
        <w:t xml:space="preserve">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4D8BBE3" w14:textId="44A5CDCF" w:rsidR="00961775" w:rsidRDefault="00961775" w:rsidP="00961775"/>
    <w:p w14:paraId="3001BE24" w14:textId="2FF37C36" w:rsidR="00AE1536" w:rsidRDefault="00961775" w:rsidP="00961775">
      <w:r>
        <w:t>To dat</w:t>
      </w:r>
      <w:r w:rsidR="007C10FC">
        <w:t>e</w:t>
      </w:r>
      <w:r>
        <w:t xml:space="preserve"> no system has achieved an accuracy of 90% or above on the COPA dataset.</w:t>
      </w:r>
      <w:r w:rsidR="00AE1536">
        <w:t xml:space="preserve"> However, the dataset has inspired many novel approaches to solving </w:t>
      </w:r>
      <w:proofErr w:type="spellStart"/>
      <w:r w:rsidR="00AE1536">
        <w:t>commonsense</w:t>
      </w:r>
      <w:proofErr w:type="spellEnd"/>
      <w:r w:rsidR="00AE1536">
        <w:t xml:space="preserv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 xml:space="preserve">when approached from a KRR standpoint. The use of KRR may be useful for achieving baseline results that could be built on using other approaches to allow greater flexibility when mimicking </w:t>
      </w:r>
      <w:proofErr w:type="spellStart"/>
      <w:r w:rsidR="00205EB3">
        <w:t>commonsense</w:t>
      </w:r>
      <w:proofErr w:type="spellEnd"/>
      <w:r w:rsidR="00205EB3">
        <w:t xml:space="preserve"> reasoning as there is no one right way to infer the correct answer. Designing systems that are able to demonstrate </w:t>
      </w:r>
      <w:proofErr w:type="spellStart"/>
      <w:r w:rsidR="00205EB3">
        <w:t>commonsense</w:t>
      </w:r>
      <w:proofErr w:type="spellEnd"/>
      <w:r w:rsidR="00205EB3">
        <w:t xml:space="preserve"> reasoning to accurately solve COPA and Winograd Schemas is difficult. This is only made more difficult when designing a system that is able to generalise and not be able to only demonstrate </w:t>
      </w:r>
      <w:proofErr w:type="spellStart"/>
      <w:r w:rsidR="00205EB3">
        <w:t>commonsense</w:t>
      </w:r>
      <w:proofErr w:type="spellEnd"/>
      <w:r w:rsidR="00205EB3">
        <w:t xml:space="preserve"> reasoning in one specific area.</w:t>
      </w:r>
    </w:p>
    <w:p w14:paraId="12216345" w14:textId="77777777" w:rsidR="00AE1536" w:rsidRDefault="00AE1536" w:rsidP="00961775"/>
    <w:p w14:paraId="27D5551E" w14:textId="78E77954" w:rsidR="00961775" w:rsidRP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w:t>
      </w:r>
      <w:proofErr w:type="spellStart"/>
      <w:r w:rsidR="00E5440C">
        <w:t>commonsense</w:t>
      </w:r>
      <w:proofErr w:type="spellEnd"/>
      <w:r w:rsidR="00E5440C">
        <w:t xml:space="preserve"> reasoning</w:t>
      </w:r>
      <w:r w:rsidR="00F30967">
        <w:t>,</w:t>
      </w:r>
      <w:r w:rsidR="00E5440C">
        <w:t xml:space="preserve"> such as Social </w:t>
      </w:r>
      <w:proofErr w:type="spellStart"/>
      <w:r w:rsidR="00E5440C">
        <w:t>IQa</w:t>
      </w:r>
      <w:proofErr w:type="spellEnd"/>
      <w:r>
        <w:t xml:space="preserve"> </w:t>
      </w:r>
      <w:r w:rsidR="00E5440C">
        <w:t xml:space="preserve">which </w:t>
      </w:r>
      <w:r w:rsidR="00F30967">
        <w:t xml:space="preserve">with the use of transfer learning achieves state-of-the-art results for both COPA and Winograd Schemas, provide evermore resources for the development of AI systems capable of </w:t>
      </w:r>
      <w:proofErr w:type="spellStart"/>
      <w:r w:rsidR="00F30967">
        <w:t>commonsense</w:t>
      </w:r>
      <w:proofErr w:type="spellEnd"/>
      <w:r w:rsidR="00F30967">
        <w:t xml:space="preserv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lastRenderedPageBreak/>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Pr="003A6655" w:rsidRDefault="00290BC4" w:rsidP="00290BC4">
      <w:pPr>
        <w:rPr>
          <w:rFonts w:cstheme="minorHAnsi"/>
        </w:rPr>
      </w:pPr>
      <w:r w:rsidRPr="003A6655">
        <w:rPr>
          <w:rFonts w:cstheme="minorHAnsi"/>
        </w:rPr>
        <w:t>Richard-</w:t>
      </w:r>
      <w:proofErr w:type="spellStart"/>
      <w:r w:rsidRPr="003A6655">
        <w:rPr>
          <w:rFonts w:cstheme="minorHAnsi"/>
        </w:rPr>
        <w:t>Bollans</w:t>
      </w:r>
      <w:proofErr w:type="spellEnd"/>
      <w:r w:rsidRPr="003A6655">
        <w:rPr>
          <w:rFonts w:cstheme="minorHAnsi"/>
        </w:rPr>
        <w:t xml:space="preserve">, A., Alvarez, L.G. and Cohn, A.G. 2018. The Role of Pragmatics in Solving the Winograd Schema Challenge. Proceedings of the Thirteenth International Symposium on </w:t>
      </w:r>
      <w:proofErr w:type="spellStart"/>
      <w:r w:rsidRPr="003A6655">
        <w:rPr>
          <w:rFonts w:cstheme="minorHAnsi"/>
        </w:rPr>
        <w:t>Commonsense</w:t>
      </w:r>
      <w:proofErr w:type="spellEnd"/>
      <w:r w:rsidRPr="003A6655">
        <w:rPr>
          <w:rFonts w:cstheme="minorHAnsi"/>
        </w:rPr>
        <w:t xml:space="preserve"> Reasoning (</w:t>
      </w:r>
      <w:proofErr w:type="spellStart"/>
      <w:r w:rsidRPr="003A6655">
        <w:rPr>
          <w:rFonts w:cstheme="minorHAnsi"/>
        </w:rPr>
        <w:t>Commonsense</w:t>
      </w:r>
      <w:proofErr w:type="spellEnd"/>
      <w:r w:rsidRPr="003A6655">
        <w:rPr>
          <w:rFonts w:cstheme="minorHAnsi"/>
        </w:rPr>
        <w:t xml:space="preserve"> 2017).</w:t>
      </w:r>
    </w:p>
    <w:p w14:paraId="14965A3A" w14:textId="77777777" w:rsidR="00290BC4" w:rsidRPr="003A6655" w:rsidRDefault="00290BC4" w:rsidP="00290BC4">
      <w:pPr>
        <w:rPr>
          <w:rFonts w:cstheme="minorHAnsi"/>
        </w:rPr>
      </w:pPr>
    </w:p>
    <w:p w14:paraId="67101858" w14:textId="77777777" w:rsidR="00290BC4" w:rsidRPr="003A6655" w:rsidRDefault="00290BC4" w:rsidP="00290BC4">
      <w:pPr>
        <w:rPr>
          <w:rFonts w:cstheme="minorHAnsi"/>
        </w:rPr>
      </w:pPr>
      <w:r w:rsidRPr="003A6655">
        <w:rPr>
          <w:rFonts w:cstheme="minorHAnsi"/>
        </w:rPr>
        <w:t xml:space="preserve">Sharma, A. 2019. Using Answer Set Programming for </w:t>
      </w:r>
      <w:proofErr w:type="spellStart"/>
      <w:r w:rsidRPr="003A6655">
        <w:rPr>
          <w:rFonts w:cstheme="minorHAnsi"/>
        </w:rPr>
        <w:t>Commonsense</w:t>
      </w:r>
      <w:proofErr w:type="spellEnd"/>
      <w:r w:rsidRPr="003A6655">
        <w:rPr>
          <w:rFonts w:cstheme="minorHAnsi"/>
        </w:rPr>
        <w:t xml:space="preserve"> Reasoning in the Winograd Schema Challenge. Theory and Practice of Logic Programming. 19(5-6), pp.1021-1037.</w:t>
      </w: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Winograd, T. 1972. Understanding natural language. Cognitive Psychology. 3(1), pp.1-191.</w:t>
      </w:r>
    </w:p>
    <w:p w14:paraId="5C1890BD" w14:textId="35759676" w:rsidR="00A70280" w:rsidRPr="003A6655" w:rsidRDefault="00A70280" w:rsidP="00290BC4">
      <w:pPr>
        <w:rPr>
          <w:rFonts w:cstheme="minorHAnsi"/>
        </w:rPr>
      </w:pPr>
    </w:p>
    <w:p w14:paraId="2C3836CE" w14:textId="59ADF973"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2" w:name="_ENREF_1"/>
      <w:r w:rsidR="003A6655" w:rsidRPr="003A6655">
        <w:rPr>
          <w:rFonts w:asciiTheme="minorHAnsi" w:hAnsiTheme="minorHAnsi" w:cstheme="minorHAnsi"/>
          <w:sz w:val="24"/>
          <w:szCs w:val="24"/>
        </w:rPr>
        <w:t xml:space="preserve">Chakraborty, S. and Sundararajan, K.K. 2007. Winograd's algorithm statistically revisited: It pays to weigh than to count! </w:t>
      </w:r>
      <w:r w:rsidR="003A6655" w:rsidRPr="003A6655">
        <w:rPr>
          <w:rFonts w:asciiTheme="minorHAnsi" w:hAnsiTheme="minorHAnsi" w:cstheme="minorHAnsi"/>
          <w:i/>
          <w:sz w:val="24"/>
          <w:szCs w:val="24"/>
        </w:rPr>
        <w:t>Applied Mathematics and Computation.</w:t>
      </w:r>
      <w:r w:rsidR="003A6655" w:rsidRPr="003A6655">
        <w:rPr>
          <w:rFonts w:asciiTheme="minorHAnsi" w:hAnsiTheme="minorHAnsi" w:cstheme="minorHAnsi"/>
          <w:sz w:val="24"/>
          <w:szCs w:val="24"/>
        </w:rPr>
        <w:t xml:space="preserve"> </w:t>
      </w:r>
      <w:r w:rsidR="003A6655" w:rsidRPr="003A6655">
        <w:rPr>
          <w:rFonts w:asciiTheme="minorHAnsi" w:hAnsiTheme="minorHAnsi" w:cstheme="minorHAnsi"/>
          <w:b/>
          <w:sz w:val="24"/>
          <w:szCs w:val="24"/>
        </w:rPr>
        <w:t>190</w:t>
      </w:r>
      <w:r w:rsidR="003A6655" w:rsidRPr="003A6655">
        <w:rPr>
          <w:rFonts w:asciiTheme="minorHAnsi" w:hAnsiTheme="minorHAnsi" w:cstheme="minorHAnsi"/>
          <w:sz w:val="24"/>
          <w:szCs w:val="24"/>
        </w:rPr>
        <w:t>(1), pp.15-20.</w:t>
      </w:r>
      <w:bookmarkEnd w:id="2"/>
    </w:p>
    <w:p w14:paraId="02478573" w14:textId="77777777" w:rsidR="003A6655" w:rsidRPr="003A6655" w:rsidRDefault="003A6655" w:rsidP="003A6655">
      <w:pPr>
        <w:pStyle w:val="EndNoteBibliography"/>
        <w:rPr>
          <w:rFonts w:asciiTheme="minorHAnsi" w:hAnsiTheme="minorHAnsi" w:cstheme="minorHAnsi"/>
          <w:sz w:val="24"/>
          <w:szCs w:val="24"/>
        </w:rPr>
      </w:pPr>
    </w:p>
    <w:p w14:paraId="3C764115" w14:textId="725A1B83" w:rsidR="003A6655" w:rsidRDefault="003A6655" w:rsidP="003A6655">
      <w:pPr>
        <w:pStyle w:val="EndNoteBibliography"/>
        <w:rPr>
          <w:rFonts w:asciiTheme="minorHAnsi" w:hAnsiTheme="minorHAnsi" w:cstheme="minorHAnsi"/>
          <w:sz w:val="24"/>
          <w:szCs w:val="24"/>
        </w:rPr>
      </w:pPr>
      <w:bookmarkStart w:id="3" w:name="_ENREF_2"/>
      <w:r w:rsidRPr="003A6655">
        <w:rPr>
          <w:rFonts w:asciiTheme="minorHAnsi" w:hAnsiTheme="minorHAnsi" w:cstheme="minorHAnsi"/>
          <w:sz w:val="24"/>
          <w:szCs w:val="24"/>
        </w:rPr>
        <w:t xml:space="preserve">Gordon, A.S. 2010. </w:t>
      </w:r>
      <w:r w:rsidRPr="003A6655">
        <w:rPr>
          <w:rFonts w:asciiTheme="minorHAnsi" w:hAnsiTheme="minorHAnsi" w:cstheme="minorHAnsi"/>
          <w:i/>
          <w:sz w:val="24"/>
          <w:szCs w:val="24"/>
        </w:rPr>
        <w:t>COPA-questions-dev.</w:t>
      </w:r>
      <w:r w:rsidRPr="003A6655">
        <w:rPr>
          <w:rFonts w:asciiTheme="minorHAnsi" w:hAnsiTheme="minorHAnsi" w:cstheme="minorHAnsi"/>
          <w:sz w:val="24"/>
          <w:szCs w:val="24"/>
        </w:rPr>
        <w:t xml:space="preserve"> [Online]. Available from: </w:t>
      </w:r>
      <w:hyperlink r:id="rId8" w:history="1">
        <w:r w:rsidRPr="003A6655">
          <w:rPr>
            <w:rStyle w:val="Hyperlink"/>
            <w:rFonts w:asciiTheme="minorHAnsi" w:hAnsiTheme="minorHAnsi" w:cstheme="minorHAnsi"/>
            <w:sz w:val="24"/>
            <w:szCs w:val="24"/>
          </w:rPr>
          <w:t>https://people.ict.usc.edu/~gordon/downloads/COPA-questions-dev.txt</w:t>
        </w:r>
        <w:bookmarkEnd w:id="3"/>
      </w:hyperlink>
    </w:p>
    <w:p w14:paraId="05DE63FC" w14:textId="77777777" w:rsidR="003A6655" w:rsidRPr="003A6655" w:rsidRDefault="003A6655" w:rsidP="003A6655">
      <w:pPr>
        <w:pStyle w:val="EndNoteBibliography"/>
        <w:rPr>
          <w:rFonts w:asciiTheme="minorHAnsi" w:hAnsiTheme="minorHAnsi" w:cstheme="minorHAnsi"/>
          <w:sz w:val="24"/>
          <w:szCs w:val="24"/>
        </w:rPr>
      </w:pPr>
    </w:p>
    <w:p w14:paraId="153CBDAA" w14:textId="3FAE6388" w:rsidR="003A6655" w:rsidRDefault="003A6655" w:rsidP="003A6655">
      <w:pPr>
        <w:pStyle w:val="EndNoteBibliography"/>
        <w:rPr>
          <w:rFonts w:asciiTheme="minorHAnsi" w:hAnsiTheme="minorHAnsi" w:cstheme="minorHAnsi"/>
          <w:i/>
          <w:sz w:val="24"/>
          <w:szCs w:val="24"/>
        </w:rPr>
      </w:pPr>
      <w:bookmarkStart w:id="4" w:name="_ENREF_3"/>
      <w:r w:rsidRPr="003A6655">
        <w:rPr>
          <w:rFonts w:asciiTheme="minorHAnsi" w:hAnsiTheme="minorHAnsi" w:cstheme="minorHAnsi"/>
          <w:sz w:val="24"/>
          <w:szCs w:val="24"/>
        </w:rPr>
        <w:t xml:space="preserve">Isaak, N. and Michael, L. 2020. </w:t>
      </w:r>
      <w:r w:rsidRPr="003A6655">
        <w:rPr>
          <w:rFonts w:asciiTheme="minorHAnsi" w:hAnsiTheme="minorHAnsi" w:cstheme="minorHAnsi"/>
          <w:i/>
          <w:sz w:val="24"/>
          <w:szCs w:val="24"/>
        </w:rPr>
        <w:t>Winventor: A Machine-driven Approach for the Development of Winograd Schemas.</w:t>
      </w:r>
      <w:bookmarkEnd w:id="4"/>
    </w:p>
    <w:p w14:paraId="202D3FF6" w14:textId="77777777" w:rsidR="003A6655" w:rsidRPr="003A6655" w:rsidRDefault="003A6655" w:rsidP="003A6655">
      <w:pPr>
        <w:pStyle w:val="EndNoteBibliography"/>
        <w:rPr>
          <w:rFonts w:asciiTheme="minorHAnsi" w:hAnsiTheme="minorHAnsi" w:cstheme="minorHAnsi"/>
          <w:i/>
          <w:sz w:val="24"/>
          <w:szCs w:val="24"/>
        </w:rPr>
      </w:pPr>
    </w:p>
    <w:p w14:paraId="3106BA1F" w14:textId="20CBB8A7" w:rsidR="003A6655" w:rsidRDefault="003A6655" w:rsidP="003A6655">
      <w:pPr>
        <w:pStyle w:val="EndNoteBibliography"/>
        <w:rPr>
          <w:rFonts w:asciiTheme="minorHAnsi" w:hAnsiTheme="minorHAnsi" w:cstheme="minorHAnsi"/>
          <w:sz w:val="24"/>
          <w:szCs w:val="24"/>
        </w:rPr>
      </w:pPr>
      <w:bookmarkStart w:id="5" w:name="_ENREF_4"/>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bookmarkEnd w:id="5"/>
    </w:p>
    <w:p w14:paraId="4277AD91" w14:textId="77777777" w:rsidR="003A6655" w:rsidRPr="003A6655" w:rsidRDefault="003A6655" w:rsidP="003A6655">
      <w:pPr>
        <w:pStyle w:val="EndNoteBibliography"/>
        <w:rPr>
          <w:rFonts w:asciiTheme="minorHAnsi" w:hAnsiTheme="minorHAnsi" w:cstheme="minorHAnsi"/>
          <w:sz w:val="24"/>
          <w:szCs w:val="24"/>
        </w:rPr>
      </w:pPr>
    </w:p>
    <w:p w14:paraId="643813DD" w14:textId="77777777" w:rsidR="003A6655" w:rsidRPr="003A6655" w:rsidRDefault="003A6655" w:rsidP="003A6655">
      <w:pPr>
        <w:pStyle w:val="EndNoteBibliography"/>
        <w:rPr>
          <w:rFonts w:asciiTheme="minorHAnsi" w:hAnsiTheme="minorHAnsi" w:cstheme="minorHAnsi"/>
          <w:i/>
          <w:sz w:val="24"/>
          <w:szCs w:val="24"/>
        </w:rPr>
      </w:pPr>
      <w:bookmarkStart w:id="6" w:name="_ENREF_5"/>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bookmarkEnd w:id="6"/>
    </w:p>
    <w:p w14:paraId="11C7D31C" w14:textId="48D36AF5" w:rsidR="003A6655" w:rsidRDefault="003A6655" w:rsidP="003A6655">
      <w:pPr>
        <w:pStyle w:val="EndNoteBibliography"/>
        <w:rPr>
          <w:rFonts w:asciiTheme="minorHAnsi" w:hAnsiTheme="minorHAnsi" w:cstheme="minorHAnsi"/>
          <w:i/>
          <w:sz w:val="24"/>
          <w:szCs w:val="24"/>
        </w:rPr>
      </w:pPr>
      <w:bookmarkStart w:id="7" w:name="_ENREF_6"/>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bookmarkEnd w:id="7"/>
    </w:p>
    <w:p w14:paraId="71BB1517" w14:textId="77777777" w:rsidR="003A6655" w:rsidRPr="003A6655" w:rsidRDefault="003A6655" w:rsidP="003A6655">
      <w:pPr>
        <w:pStyle w:val="EndNoteBibliography"/>
        <w:rPr>
          <w:rFonts w:asciiTheme="minorHAnsi" w:hAnsiTheme="minorHAnsi" w:cstheme="minorHAnsi"/>
          <w:i/>
          <w:sz w:val="24"/>
          <w:szCs w:val="24"/>
        </w:rPr>
      </w:pPr>
    </w:p>
    <w:p w14:paraId="67A42775" w14:textId="0C7CD644" w:rsidR="003A6655" w:rsidRDefault="003A6655" w:rsidP="003A6655">
      <w:pPr>
        <w:pStyle w:val="EndNoteBibliography"/>
        <w:rPr>
          <w:rFonts w:asciiTheme="minorHAnsi" w:hAnsiTheme="minorHAnsi" w:cstheme="minorHAnsi"/>
          <w:i/>
          <w:sz w:val="24"/>
          <w:szCs w:val="24"/>
        </w:rPr>
      </w:pPr>
      <w:bookmarkStart w:id="8" w:name="_ENREF_7"/>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bookmarkEnd w:id="8"/>
    </w:p>
    <w:p w14:paraId="2C349DE9" w14:textId="77777777" w:rsidR="003A6655" w:rsidRPr="003A6655" w:rsidRDefault="003A6655" w:rsidP="003A6655">
      <w:pPr>
        <w:pStyle w:val="EndNoteBibliography"/>
        <w:rPr>
          <w:rFonts w:asciiTheme="minorHAnsi" w:hAnsiTheme="minorHAnsi" w:cstheme="minorHAnsi"/>
          <w:i/>
          <w:sz w:val="24"/>
          <w:szCs w:val="24"/>
        </w:rPr>
      </w:pPr>
    </w:p>
    <w:p w14:paraId="4ED24130" w14:textId="77777777" w:rsidR="003A6655" w:rsidRPr="003A6655" w:rsidRDefault="003A6655" w:rsidP="003A6655">
      <w:pPr>
        <w:pStyle w:val="EndNoteBibliography"/>
        <w:rPr>
          <w:rFonts w:asciiTheme="minorHAnsi" w:hAnsiTheme="minorHAnsi" w:cstheme="minorHAnsi"/>
          <w:sz w:val="24"/>
          <w:szCs w:val="24"/>
        </w:rPr>
      </w:pPr>
      <w:bookmarkStart w:id="9" w:name="_ENREF_8"/>
      <w:r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Pr="003A6655">
        <w:rPr>
          <w:rFonts w:asciiTheme="minorHAnsi" w:hAnsiTheme="minorHAnsi" w:cstheme="minorHAnsi"/>
          <w:i/>
          <w:sz w:val="24"/>
          <w:szCs w:val="24"/>
        </w:rPr>
        <w:t xml:space="preserve"> may, Miyazaki, Japan</w:t>
      </w:r>
      <w:r w:rsidRPr="003A6655">
        <w:rPr>
          <w:rFonts w:asciiTheme="minorHAnsi" w:hAnsiTheme="minorHAnsi" w:cstheme="minorHAnsi"/>
          <w:sz w:val="24"/>
          <w:szCs w:val="24"/>
        </w:rPr>
        <w:t>. European Language Resources Association (ELRA).</w:t>
      </w:r>
      <w:bookmarkEnd w:id="9"/>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10"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10"/>
    </w:p>
    <w:p w14:paraId="11755016" w14:textId="632691A3" w:rsidR="00321478" w:rsidRDefault="00A70280" w:rsidP="003A6655">
      <w:r w:rsidRPr="003A6655">
        <w:rPr>
          <w:rFonts w:cstheme="minorHAnsi"/>
        </w:rPr>
        <w:lastRenderedPageBreak/>
        <w:fldChar w:fldCharType="end"/>
      </w:r>
    </w:p>
    <w:p w14:paraId="52AC0C7A" w14:textId="634B6EEB" w:rsidR="00321478" w:rsidRPr="00290BC4" w:rsidRDefault="00321478" w:rsidP="00290BC4"/>
    <w:sectPr w:rsidR="00321478" w:rsidRPr="00290BC4" w:rsidSect="00F85562">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77FE9" w14:textId="77777777" w:rsidR="00A6577F" w:rsidRDefault="00A6577F" w:rsidP="00A95E5B">
      <w:r>
        <w:separator/>
      </w:r>
    </w:p>
  </w:endnote>
  <w:endnote w:type="continuationSeparator" w:id="0">
    <w:p w14:paraId="259E36AE" w14:textId="77777777" w:rsidR="00A6577F" w:rsidRDefault="00A6577F"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l Bayan">
    <w:altName w:val="﷽﷽﷽﷽﷽﷽﷽﷽"/>
    <w:panose1 w:val="00000000000000000000"/>
    <w:charset w:val="B2"/>
    <w:family w:val="auto"/>
    <w:pitch w:val="variable"/>
    <w:sig w:usb0="00002001" w:usb1="00000000" w:usb2="00000008" w:usb3="00000000" w:csb0="0000004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9B1A82" w:rsidRDefault="009B1A82"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9B1A82" w:rsidRDefault="009B1A82"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9B1A82" w:rsidRPr="00A95E5B" w:rsidRDefault="009B1A82"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9B1A82" w:rsidRPr="00A95E5B" w:rsidRDefault="009B1A82"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71D75" w14:textId="77777777" w:rsidR="00A6577F" w:rsidRDefault="00A6577F" w:rsidP="00A95E5B">
      <w:r>
        <w:separator/>
      </w:r>
    </w:p>
  </w:footnote>
  <w:footnote w:type="continuationSeparator" w:id="0">
    <w:p w14:paraId="0161B6D1" w14:textId="77777777" w:rsidR="00A6577F" w:rsidRDefault="00A6577F"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9B1A82" w:rsidRPr="00A95E5B" w:rsidRDefault="009B1A82">
    <w:pPr>
      <w:pStyle w:val="Header"/>
      <w:rPr>
        <w:color w:val="2F5496" w:themeColor="accent1" w:themeShade="BF"/>
      </w:rPr>
    </w:pPr>
    <w:r w:rsidRPr="00A95E5B">
      <w:rPr>
        <w:color w:val="2F5496" w:themeColor="accent1" w:themeShade="BF"/>
      </w:rPr>
      <w:t>COMP5450M – Knowledge Representation and Reasoning</w:t>
    </w:r>
  </w:p>
  <w:p w14:paraId="2C591098" w14:textId="77777777" w:rsidR="009B1A82" w:rsidRDefault="009B1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3009"/>
    <w:rsid w:val="000047B9"/>
    <w:rsid w:val="00014A9B"/>
    <w:rsid w:val="00032672"/>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05EB3"/>
    <w:rsid w:val="00262D87"/>
    <w:rsid w:val="002737E3"/>
    <w:rsid w:val="00282586"/>
    <w:rsid w:val="002908BD"/>
    <w:rsid w:val="00290BC4"/>
    <w:rsid w:val="00295BAA"/>
    <w:rsid w:val="002C177D"/>
    <w:rsid w:val="002C3431"/>
    <w:rsid w:val="002F4C29"/>
    <w:rsid w:val="002F7FB8"/>
    <w:rsid w:val="00317973"/>
    <w:rsid w:val="00321478"/>
    <w:rsid w:val="00326AAF"/>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A1D8B"/>
    <w:rsid w:val="005A31D1"/>
    <w:rsid w:val="005B2113"/>
    <w:rsid w:val="005B29F3"/>
    <w:rsid w:val="005B56D0"/>
    <w:rsid w:val="005D79B0"/>
    <w:rsid w:val="00610122"/>
    <w:rsid w:val="0061132C"/>
    <w:rsid w:val="00627FDB"/>
    <w:rsid w:val="006347B1"/>
    <w:rsid w:val="00635958"/>
    <w:rsid w:val="0063754D"/>
    <w:rsid w:val="00637720"/>
    <w:rsid w:val="00642D6F"/>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ED"/>
    <w:rsid w:val="00774C53"/>
    <w:rsid w:val="007C10FC"/>
    <w:rsid w:val="008111CA"/>
    <w:rsid w:val="008352FA"/>
    <w:rsid w:val="0086172C"/>
    <w:rsid w:val="0086192D"/>
    <w:rsid w:val="00877896"/>
    <w:rsid w:val="008A4B5A"/>
    <w:rsid w:val="008B68FE"/>
    <w:rsid w:val="008C7FA6"/>
    <w:rsid w:val="008D48CB"/>
    <w:rsid w:val="008E147B"/>
    <w:rsid w:val="008F1529"/>
    <w:rsid w:val="00904346"/>
    <w:rsid w:val="00924DDE"/>
    <w:rsid w:val="0093471B"/>
    <w:rsid w:val="009367AC"/>
    <w:rsid w:val="009549AF"/>
    <w:rsid w:val="00961775"/>
    <w:rsid w:val="0099335D"/>
    <w:rsid w:val="009B1A82"/>
    <w:rsid w:val="009E0B4E"/>
    <w:rsid w:val="009F2345"/>
    <w:rsid w:val="00A0767C"/>
    <w:rsid w:val="00A21A81"/>
    <w:rsid w:val="00A37446"/>
    <w:rsid w:val="00A45DFF"/>
    <w:rsid w:val="00A60707"/>
    <w:rsid w:val="00A6577F"/>
    <w:rsid w:val="00A70280"/>
    <w:rsid w:val="00A740A7"/>
    <w:rsid w:val="00A831B8"/>
    <w:rsid w:val="00A85051"/>
    <w:rsid w:val="00A95E5B"/>
    <w:rsid w:val="00A97EA0"/>
    <w:rsid w:val="00AA7CAE"/>
    <w:rsid w:val="00AB402A"/>
    <w:rsid w:val="00AB7128"/>
    <w:rsid w:val="00AD2046"/>
    <w:rsid w:val="00AE1536"/>
    <w:rsid w:val="00AE2BD9"/>
    <w:rsid w:val="00B431C3"/>
    <w:rsid w:val="00B51421"/>
    <w:rsid w:val="00B6099C"/>
    <w:rsid w:val="00B76B73"/>
    <w:rsid w:val="00B85775"/>
    <w:rsid w:val="00B912D1"/>
    <w:rsid w:val="00B93644"/>
    <w:rsid w:val="00BB6C23"/>
    <w:rsid w:val="00C00726"/>
    <w:rsid w:val="00C009B8"/>
    <w:rsid w:val="00C01575"/>
    <w:rsid w:val="00C16400"/>
    <w:rsid w:val="00C3147C"/>
    <w:rsid w:val="00C336C7"/>
    <w:rsid w:val="00C37A14"/>
    <w:rsid w:val="00C66DE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C4070"/>
    <w:rsid w:val="00DD6E47"/>
    <w:rsid w:val="00DE2F3F"/>
    <w:rsid w:val="00E03407"/>
    <w:rsid w:val="00E15FF8"/>
    <w:rsid w:val="00E32871"/>
    <w:rsid w:val="00E441E4"/>
    <w:rsid w:val="00E4485D"/>
    <w:rsid w:val="00E5440C"/>
    <w:rsid w:val="00E56801"/>
    <w:rsid w:val="00E94FE9"/>
    <w:rsid w:val="00EA040A"/>
    <w:rsid w:val="00EA0A8A"/>
    <w:rsid w:val="00EA2544"/>
    <w:rsid w:val="00EA2620"/>
    <w:rsid w:val="00EA65E2"/>
    <w:rsid w:val="00EB26FF"/>
    <w:rsid w:val="00EB7045"/>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ict.usc.edu/~gordon/downloads/COPA-questions-dev.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9667</Words>
  <Characters>55108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114</cp:revision>
  <dcterms:created xsi:type="dcterms:W3CDTF">2020-12-04T19:11:00Z</dcterms:created>
  <dcterms:modified xsi:type="dcterms:W3CDTF">2020-12-05T21:10:00Z</dcterms:modified>
</cp:coreProperties>
</file>