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4A40F8">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4A40F8">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77777777"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77777777"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7387C10" w14:textId="77777777" w:rsidR="00EA0A8A" w:rsidRDefault="00EA0A8A" w:rsidP="00EA0A8A">
      <w:pPr>
        <w:rPr>
          <w:rFonts w:ascii="Calibri" w:hAnsi="Calibri" w:cs="Calibri"/>
        </w:rPr>
      </w:pPr>
    </w:p>
    <w:p w14:paraId="0CFC38A0" w14:textId="77777777"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16822DC5" w14:textId="77777777" w:rsidR="00EA0A8A" w:rsidRDefault="00EA0A8A" w:rsidP="00EF14F4"/>
    <w:p w14:paraId="2339BE11" w14:textId="4314F830"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be solved by </w:t>
      </w:r>
      <w:r w:rsidR="00EF14F4">
        <w:t>KRR</w:t>
      </w:r>
      <w:r w:rsidRPr="00EF14F4">
        <w:t xml:space="preserve"> methods. The condition required is that in a game of tag, you only </w:t>
      </w:r>
      <w:r w:rsidRPr="00EF14F4">
        <w:lastRenderedPageBreak/>
        <w:t xml:space="preserve">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33E623EF"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machine learning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 xml:space="preserve">.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2765CA37"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68C229C2" w:rsidR="00AE2BD9" w:rsidRDefault="00AE2BD9" w:rsidP="00AE2BD9">
      <w:pPr>
        <w:rPr>
          <w:rFonts w:ascii="Calibri" w:hAnsi="Calibri" w:cs="Calibri"/>
        </w:rPr>
      </w:pPr>
      <w:r>
        <w:rPr>
          <w:rFonts w:ascii="Calibri" w:hAnsi="Calibri" w:cs="Calibri"/>
        </w:rPr>
        <w:t xml:space="preserve">It has been shown that Machine Learning techniques may be able to achieve a higher level of accuracy, by taking advantage of a large amount of online data for solving problems requiring </w:t>
      </w:r>
      <w:proofErr w:type="spellStart"/>
      <w:r>
        <w:rPr>
          <w:rFonts w:ascii="Calibri" w:hAnsi="Calibri" w:cs="Calibri"/>
        </w:rPr>
        <w:t>commonsense</w:t>
      </w:r>
      <w:proofErr w:type="spellEnd"/>
      <w:r>
        <w:rPr>
          <w:rFonts w:ascii="Calibri" w:hAnsi="Calibri" w:cs="Calibri"/>
        </w:rPr>
        <w:t xml:space="preserve"> knowledge; however, such techniques do not incorporate inference methodically like KRR techniques do and has a very computationally expensive training process </w:t>
      </w:r>
      <w:r w:rsidR="006665DD">
        <w:rPr>
          <w:rFonts w:ascii="Calibri" w:hAnsi="Calibri" w:cs="Calibri"/>
        </w:rPr>
        <w:t>(Ng V 2017)</w:t>
      </w:r>
      <w:r>
        <w:rPr>
          <w:rFonts w:ascii="Calibri" w:hAnsi="Calibri" w:cs="Calibri"/>
        </w:rPr>
        <w:t xml:space="preserve">. Perhaps a combination of the two could be even more successful [5]. </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7777777"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2D1F0" w14:textId="77777777" w:rsidR="004A40F8" w:rsidRDefault="004A40F8" w:rsidP="00A95E5B">
      <w:r>
        <w:separator/>
      </w:r>
    </w:p>
  </w:endnote>
  <w:endnote w:type="continuationSeparator" w:id="0">
    <w:p w14:paraId="5F9CB465" w14:textId="77777777" w:rsidR="004A40F8" w:rsidRDefault="004A40F8"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B56C5" w14:textId="77777777" w:rsidR="004A40F8" w:rsidRDefault="004A40F8" w:rsidP="00A95E5B">
      <w:r>
        <w:separator/>
      </w:r>
    </w:p>
  </w:footnote>
  <w:footnote w:type="continuationSeparator" w:id="0">
    <w:p w14:paraId="71DE0177" w14:textId="77777777" w:rsidR="004A40F8" w:rsidRDefault="004A40F8"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24C06"/>
    <w:rsid w:val="00133905"/>
    <w:rsid w:val="00167DBA"/>
    <w:rsid w:val="001A21F8"/>
    <w:rsid w:val="001C4BA0"/>
    <w:rsid w:val="002004C9"/>
    <w:rsid w:val="00262D87"/>
    <w:rsid w:val="002737E3"/>
    <w:rsid w:val="00290BC4"/>
    <w:rsid w:val="00295BAA"/>
    <w:rsid w:val="002F7FB8"/>
    <w:rsid w:val="00356F1C"/>
    <w:rsid w:val="003B410B"/>
    <w:rsid w:val="003D5B63"/>
    <w:rsid w:val="00442421"/>
    <w:rsid w:val="0048280E"/>
    <w:rsid w:val="004918DB"/>
    <w:rsid w:val="004A40F8"/>
    <w:rsid w:val="004B154F"/>
    <w:rsid w:val="004C1018"/>
    <w:rsid w:val="004E6DA8"/>
    <w:rsid w:val="005251A0"/>
    <w:rsid w:val="0059063B"/>
    <w:rsid w:val="005A1D8B"/>
    <w:rsid w:val="00610122"/>
    <w:rsid w:val="0063754D"/>
    <w:rsid w:val="00637720"/>
    <w:rsid w:val="00642D6F"/>
    <w:rsid w:val="006665DD"/>
    <w:rsid w:val="006E5CA2"/>
    <w:rsid w:val="00703915"/>
    <w:rsid w:val="0070737D"/>
    <w:rsid w:val="00763313"/>
    <w:rsid w:val="00770D83"/>
    <w:rsid w:val="007710ED"/>
    <w:rsid w:val="00774C53"/>
    <w:rsid w:val="008352FA"/>
    <w:rsid w:val="0086172C"/>
    <w:rsid w:val="008A4B5A"/>
    <w:rsid w:val="008C7FA6"/>
    <w:rsid w:val="008D48CB"/>
    <w:rsid w:val="008F1529"/>
    <w:rsid w:val="00A37446"/>
    <w:rsid w:val="00A70280"/>
    <w:rsid w:val="00A740A7"/>
    <w:rsid w:val="00A85051"/>
    <w:rsid w:val="00A95E5B"/>
    <w:rsid w:val="00AB7128"/>
    <w:rsid w:val="00AE2BD9"/>
    <w:rsid w:val="00B431C3"/>
    <w:rsid w:val="00B51421"/>
    <w:rsid w:val="00B85775"/>
    <w:rsid w:val="00C00726"/>
    <w:rsid w:val="00C336C7"/>
    <w:rsid w:val="00C37A14"/>
    <w:rsid w:val="00C75FC8"/>
    <w:rsid w:val="00C80C78"/>
    <w:rsid w:val="00C91150"/>
    <w:rsid w:val="00CC6845"/>
    <w:rsid w:val="00CE5320"/>
    <w:rsid w:val="00CE6523"/>
    <w:rsid w:val="00CF65DE"/>
    <w:rsid w:val="00D0255B"/>
    <w:rsid w:val="00D404AA"/>
    <w:rsid w:val="00D55E45"/>
    <w:rsid w:val="00D80A3E"/>
    <w:rsid w:val="00DB3826"/>
    <w:rsid w:val="00DC4070"/>
    <w:rsid w:val="00E32871"/>
    <w:rsid w:val="00E441E4"/>
    <w:rsid w:val="00E56801"/>
    <w:rsid w:val="00E94FE9"/>
    <w:rsid w:val="00EA0A8A"/>
    <w:rsid w:val="00EA2544"/>
    <w:rsid w:val="00EA2620"/>
    <w:rsid w:val="00EB26FF"/>
    <w:rsid w:val="00EF14F4"/>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16</cp:revision>
  <dcterms:created xsi:type="dcterms:W3CDTF">2020-12-04T19:11:00Z</dcterms:created>
  <dcterms:modified xsi:type="dcterms:W3CDTF">2020-12-04T19:32:00Z</dcterms:modified>
</cp:coreProperties>
</file>