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52EDC" w14:textId="30D77A07" w:rsidR="00064148" w:rsidRPr="00CD0DCF" w:rsidRDefault="00064148" w:rsidP="00064148">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6C3600D" w14:textId="77777777" w:rsidR="00064148" w:rsidRPr="00CD0DCF" w:rsidRDefault="00064148" w:rsidP="00064148">
      <w:pPr>
        <w:rPr>
          <w:rFonts w:ascii="Calibri" w:hAnsi="Calibri" w:cs="Calibri"/>
          <w:b/>
          <w:bCs/>
        </w:rPr>
      </w:pPr>
    </w:p>
    <w:p w14:paraId="00489A0F" w14:textId="67ABBF25" w:rsidR="00064148" w:rsidRDefault="00064148" w:rsidP="00064148">
      <w:pPr>
        <w:rPr>
          <w:rFonts w:ascii="Calibri" w:hAnsi="Calibri" w:cs="Calibri"/>
        </w:rPr>
      </w:pPr>
      <w:r w:rsidRPr="00CD0DCF">
        <w:rPr>
          <w:rFonts w:ascii="Calibri" w:hAnsi="Calibri" w:cs="Calibri"/>
        </w:rPr>
        <w:t xml:space="preserve">The Winograd Schema Challenge </w:t>
      </w:r>
      <w:r w:rsidR="00D50701">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7C4AE1ED" w14:textId="77777777" w:rsidR="00064148" w:rsidRDefault="00064148" w:rsidP="00064148">
      <w:pPr>
        <w:rPr>
          <w:rFonts w:ascii="Calibri" w:hAnsi="Calibri" w:cs="Calibri"/>
        </w:rPr>
      </w:pPr>
    </w:p>
    <w:p w14:paraId="5FCA2EF1" w14:textId="77777777" w:rsidR="00064148" w:rsidRPr="00CD0DCF" w:rsidRDefault="00064148" w:rsidP="00064148">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6A77C6B7" w14:textId="77777777" w:rsidR="00064148" w:rsidRPr="00CD0DCF" w:rsidRDefault="00064148" w:rsidP="00064148">
      <w:pPr>
        <w:rPr>
          <w:rFonts w:ascii="Calibri" w:hAnsi="Calibri" w:cs="Calibri"/>
        </w:rPr>
      </w:pPr>
    </w:p>
    <w:p w14:paraId="100F3B4B" w14:textId="77777777" w:rsidR="00064148" w:rsidRPr="00CD0DCF" w:rsidRDefault="00064148" w:rsidP="00064148">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3362536F" w14:textId="77777777" w:rsidR="00064148" w:rsidRPr="00CD0DCF" w:rsidRDefault="00064148" w:rsidP="00064148">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5E27A316" w14:textId="77777777" w:rsidR="00064148" w:rsidRDefault="00064148" w:rsidP="00064148">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31A8740F" w14:textId="77777777" w:rsidR="00064148" w:rsidRPr="00CD0DCF" w:rsidRDefault="00064148" w:rsidP="00064148">
      <w:pPr>
        <w:pStyle w:val="NormalWeb"/>
        <w:rPr>
          <w:rFonts w:ascii="Calibri" w:hAnsi="Calibri" w:cs="Calibri"/>
        </w:rPr>
      </w:pPr>
      <w:r>
        <w:rPr>
          <w:rFonts w:ascii="Calibri" w:hAnsi="Calibri" w:cs="Calibri"/>
        </w:rPr>
        <w:t>This example helps illustrate the form of the test’s input: a sentence, with two subjects, an ambiguous pronoun later in the sentence which could refer to either of the subjects, and a keyword that determines the answer. Each schema also has an alternate solution of the 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w:t>
      </w:r>
      <w:r>
        <w:rPr>
          <w:rFonts w:ascii="Calibri" w:hAnsi="Calibri" w:cs="Calibri"/>
        </w:rPr>
        <w:lastRenderedPageBreak/>
        <w:t>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7940F6" w14:textId="47BE47A9" w:rsidR="00064148" w:rsidRDefault="00064148" w:rsidP="00064148">
      <w:pPr>
        <w:rPr>
          <w:rFonts w:ascii="Calibri" w:hAnsi="Calibri" w:cs="Calibri"/>
        </w:rPr>
      </w:pPr>
      <w:r>
        <w:rPr>
          <w:rFonts w:ascii="Calibri" w:hAnsi="Calibri" w:cs="Calibri"/>
        </w:rPr>
        <w:t xml:space="preserve">The </w:t>
      </w:r>
      <w:r w:rsidR="001B7C48">
        <w:rPr>
          <w:rFonts w:ascii="Calibri" w:hAnsi="Calibri" w:cs="Calibri"/>
        </w:rPr>
        <w:t>WSC</w:t>
      </w:r>
      <w:r>
        <w:rPr>
          <w:rFonts w:ascii="Calibri" w:hAnsi="Calibri" w:cs="Calibri"/>
        </w:rPr>
        <w:t xml:space="preserve">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w:t>
      </w:r>
      <w:r w:rsidR="002F0FCA">
        <w:rPr>
          <w:rFonts w:ascii="Calibri" w:hAnsi="Calibri" w:cs="Calibri"/>
        </w:rPr>
        <w:t>nowledge Representation and Reasoning (K</w:t>
      </w:r>
      <w:r>
        <w:rPr>
          <w:rFonts w:ascii="Calibri" w:hAnsi="Calibri" w:cs="Calibri"/>
        </w:rPr>
        <w:t>RR</w:t>
      </w:r>
      <w:r w:rsidR="002F0FCA">
        <w:rPr>
          <w:rFonts w:ascii="Calibri" w:hAnsi="Calibri" w:cs="Calibri"/>
        </w:rPr>
        <w:t>)</w:t>
      </w:r>
      <w:r>
        <w:rPr>
          <w:rFonts w:ascii="Calibri" w:hAnsi="Calibri" w:cs="Calibri"/>
        </w:rPr>
        <w:t xml:space="preserve">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14BDEB38" w14:textId="77777777" w:rsidR="00064148" w:rsidRDefault="00064148" w:rsidP="00064148">
      <w:pPr>
        <w:rPr>
          <w:rFonts w:ascii="Calibri" w:hAnsi="Calibri" w:cs="Calibri"/>
        </w:rPr>
      </w:pPr>
    </w:p>
    <w:p w14:paraId="54F5929E" w14:textId="18FECA79" w:rsidR="00064148" w:rsidRPr="00A775CF" w:rsidRDefault="00064148" w:rsidP="00064148">
      <w:pPr>
        <w:rPr>
          <w:rFonts w:ascii="Calibri" w:hAnsi="Calibri" w:cs="Calibri"/>
        </w:rPr>
      </w:pPr>
      <w:r>
        <w:rPr>
          <w:rFonts w:ascii="Calibri" w:hAnsi="Calibri" w:cs="Calibri"/>
        </w:rPr>
        <w:t xml:space="preserve">However, the </w:t>
      </w:r>
      <w:r w:rsidR="001B7C48">
        <w:rPr>
          <w:rFonts w:ascii="Calibri" w:hAnsi="Calibri" w:cs="Calibri"/>
        </w:rPr>
        <w:t>WSC</w:t>
      </w:r>
      <w:r>
        <w:rPr>
          <w:rFonts w:ascii="Calibri" w:hAnsi="Calibri" w:cs="Calibri"/>
        </w:rPr>
        <w:t xml:space="preserve">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6C0697FB" w14:textId="77777777" w:rsidR="00064148" w:rsidRPr="00CD0DCF" w:rsidRDefault="00064148" w:rsidP="00064148">
      <w:pPr>
        <w:rPr>
          <w:rFonts w:ascii="Calibri" w:hAnsi="Calibri" w:cs="Calibri"/>
          <w:b/>
          <w:bCs/>
        </w:rPr>
      </w:pPr>
    </w:p>
    <w:p w14:paraId="54015731" w14:textId="77777777" w:rsidR="00064148" w:rsidRPr="00CD0DCF" w:rsidRDefault="00064148" w:rsidP="00064148">
      <w:pPr>
        <w:rPr>
          <w:rFonts w:ascii="Calibri" w:hAnsi="Calibri" w:cs="Calibri"/>
        </w:rPr>
      </w:pPr>
    </w:p>
    <w:p w14:paraId="527AD8ED" w14:textId="77777777" w:rsidR="00064148" w:rsidRDefault="00064148" w:rsidP="00064148">
      <w:pPr>
        <w:rPr>
          <w:rFonts w:ascii="Calibri" w:hAnsi="Calibri" w:cs="Calibri"/>
        </w:rPr>
      </w:pPr>
      <w:r w:rsidRPr="00CD0DCF">
        <w:rPr>
          <w:rFonts w:ascii="Calibri" w:hAnsi="Calibri" w:cs="Calibri"/>
        </w:rPr>
        <w:t xml:space="preserve">References </w:t>
      </w:r>
    </w:p>
    <w:p w14:paraId="4DE0EC0A" w14:textId="77777777" w:rsidR="00064148" w:rsidRDefault="00064148" w:rsidP="00064148">
      <w:pPr>
        <w:rPr>
          <w:rFonts w:ascii="Calibri" w:hAnsi="Calibri" w:cs="Calibri"/>
        </w:rPr>
      </w:pPr>
    </w:p>
    <w:p w14:paraId="48CC23B5" w14:textId="77777777" w:rsidR="00064148" w:rsidRDefault="00064148" w:rsidP="00064148">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A82BC0E" w14:textId="77777777" w:rsidR="00064148" w:rsidRPr="00C54DD5" w:rsidRDefault="00064148" w:rsidP="00064148">
      <w:pPr>
        <w:rPr>
          <w:rFonts w:ascii="Calibri" w:hAnsi="Calibri" w:cs="Calibri"/>
        </w:rPr>
      </w:pPr>
    </w:p>
    <w:p w14:paraId="6475551A" w14:textId="77777777" w:rsidR="00064148" w:rsidRDefault="00064148" w:rsidP="00064148">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044EB57E" w14:textId="77777777" w:rsidR="00064148" w:rsidRPr="00C54DD5" w:rsidRDefault="00064148" w:rsidP="00064148">
      <w:pPr>
        <w:rPr>
          <w:rFonts w:ascii="Calibri" w:hAnsi="Calibri" w:cs="Calibri"/>
        </w:rPr>
      </w:pPr>
    </w:p>
    <w:p w14:paraId="5A955D97" w14:textId="77777777" w:rsidR="00064148" w:rsidRDefault="00064148" w:rsidP="00064148">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2F345A40" w14:textId="77777777" w:rsidR="00064148" w:rsidRPr="00C54DD5" w:rsidRDefault="00064148" w:rsidP="00064148">
      <w:pPr>
        <w:rPr>
          <w:rFonts w:ascii="Calibri" w:hAnsi="Calibri" w:cs="Calibri"/>
        </w:rPr>
      </w:pPr>
    </w:p>
    <w:p w14:paraId="06770E6A" w14:textId="77777777" w:rsidR="00064148" w:rsidRDefault="00064148" w:rsidP="00064148">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20709EB9" w14:textId="77777777" w:rsidR="00064148" w:rsidRPr="00C54DD5" w:rsidRDefault="00064148" w:rsidP="00064148">
      <w:pPr>
        <w:rPr>
          <w:rFonts w:ascii="Calibri" w:hAnsi="Calibri" w:cs="Calibri"/>
        </w:rPr>
      </w:pPr>
    </w:p>
    <w:p w14:paraId="1B85EB1D" w14:textId="77777777" w:rsidR="00064148" w:rsidRDefault="00064148" w:rsidP="00064148">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7B996B15" w14:textId="77777777" w:rsidR="00064148" w:rsidRPr="00C54DD5" w:rsidRDefault="00064148" w:rsidP="00064148">
      <w:pPr>
        <w:rPr>
          <w:rFonts w:ascii="Calibri" w:hAnsi="Calibri" w:cs="Calibri"/>
        </w:rPr>
      </w:pPr>
    </w:p>
    <w:p w14:paraId="47AE03A2" w14:textId="77777777" w:rsidR="00064148" w:rsidRDefault="00064148" w:rsidP="00064148">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79CE3331" w14:textId="77777777" w:rsidR="00064148" w:rsidRPr="00C54DD5" w:rsidRDefault="00064148" w:rsidP="00064148">
      <w:pPr>
        <w:rPr>
          <w:rFonts w:ascii="Calibri" w:hAnsi="Calibri" w:cs="Calibri"/>
        </w:rPr>
      </w:pPr>
    </w:p>
    <w:p w14:paraId="768EDABB" w14:textId="77777777" w:rsidR="00064148" w:rsidRDefault="00064148" w:rsidP="00064148">
      <w:pPr>
        <w:rPr>
          <w:rFonts w:ascii="Calibri" w:hAnsi="Calibri" w:cs="Calibri"/>
        </w:rPr>
      </w:pPr>
      <w:r w:rsidRPr="00C54DD5">
        <w:rPr>
          <w:rFonts w:ascii="Calibri" w:hAnsi="Calibri" w:cs="Calibri"/>
        </w:rPr>
        <w:lastRenderedPageBreak/>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16A228E" w14:textId="77777777" w:rsidR="00064148" w:rsidRPr="00C54DD5" w:rsidRDefault="00064148" w:rsidP="00064148">
      <w:pPr>
        <w:rPr>
          <w:rFonts w:ascii="Calibri" w:hAnsi="Calibri" w:cs="Calibri"/>
        </w:rPr>
      </w:pPr>
    </w:p>
    <w:p w14:paraId="3FBC8DB5" w14:textId="0B52EC98" w:rsidR="00064148" w:rsidRDefault="00064148" w:rsidP="00064148">
      <w:pPr>
        <w:rPr>
          <w:rFonts w:ascii="Calibri" w:hAnsi="Calibri" w:cs="Calibri"/>
        </w:rPr>
      </w:pPr>
      <w:r w:rsidRPr="00C54DD5">
        <w:rPr>
          <w:rFonts w:ascii="Calibri" w:hAnsi="Calibri" w:cs="Calibri"/>
        </w:rPr>
        <w:t>Winograd, T. 1972. Understanding natural language. Cognitive Psychology. 3(1), pp.1-191.</w:t>
      </w:r>
    </w:p>
    <w:p w14:paraId="074B4935" w14:textId="6E441C64" w:rsidR="00B71252" w:rsidRDefault="00B71252" w:rsidP="00064148">
      <w:pPr>
        <w:rPr>
          <w:rFonts w:ascii="Calibri" w:hAnsi="Calibri" w:cs="Calibri"/>
        </w:rPr>
      </w:pPr>
    </w:p>
    <w:p w14:paraId="460213A0" w14:textId="5FC284EE" w:rsidR="00B71252" w:rsidRDefault="00B71252" w:rsidP="00064148">
      <w:pPr>
        <w:rPr>
          <w:rFonts w:ascii="Calibri" w:hAnsi="Calibri" w:cs="Calibri"/>
        </w:rPr>
      </w:pPr>
      <w:r>
        <w:rPr>
          <w:rFonts w:ascii="Calibri" w:hAnsi="Calibri" w:cs="Calibri"/>
        </w:rPr>
        <w:t>Word Count: 780</w:t>
      </w:r>
    </w:p>
    <w:p w14:paraId="2DA96557" w14:textId="77777777" w:rsidR="0058201C" w:rsidRDefault="002F0FCA"/>
    <w:sectPr w:rsidR="0058201C" w:rsidSect="00EF76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48"/>
    <w:rsid w:val="00064148"/>
    <w:rsid w:val="000A2DEB"/>
    <w:rsid w:val="00127030"/>
    <w:rsid w:val="0014036B"/>
    <w:rsid w:val="001B7C48"/>
    <w:rsid w:val="002C1396"/>
    <w:rsid w:val="002D0246"/>
    <w:rsid w:val="002F0FCA"/>
    <w:rsid w:val="003E544F"/>
    <w:rsid w:val="00410DA0"/>
    <w:rsid w:val="00492A2B"/>
    <w:rsid w:val="004F79ED"/>
    <w:rsid w:val="0055231E"/>
    <w:rsid w:val="008676CC"/>
    <w:rsid w:val="0094001A"/>
    <w:rsid w:val="009D6897"/>
    <w:rsid w:val="00A06002"/>
    <w:rsid w:val="00AD0454"/>
    <w:rsid w:val="00AE03B0"/>
    <w:rsid w:val="00B46EFB"/>
    <w:rsid w:val="00B71252"/>
    <w:rsid w:val="00B74C1D"/>
    <w:rsid w:val="00C2080B"/>
    <w:rsid w:val="00C47664"/>
    <w:rsid w:val="00C72DE8"/>
    <w:rsid w:val="00C81225"/>
    <w:rsid w:val="00D03DB3"/>
    <w:rsid w:val="00D24C02"/>
    <w:rsid w:val="00D50701"/>
    <w:rsid w:val="00D96B61"/>
    <w:rsid w:val="00E3078E"/>
    <w:rsid w:val="00EF768B"/>
    <w:rsid w:val="00FF0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1A0105"/>
  <w15:chartTrackingRefBased/>
  <w15:docId w15:val="{8E594C2B-25E2-1A4A-B9B6-80DEC08B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14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Briggs</dc:creator>
  <cp:keywords/>
  <dc:description/>
  <cp:lastModifiedBy>Emma Briggs</cp:lastModifiedBy>
  <cp:revision>6</cp:revision>
  <dcterms:created xsi:type="dcterms:W3CDTF">2020-12-04T00:07:00Z</dcterms:created>
  <dcterms:modified xsi:type="dcterms:W3CDTF">2020-12-04T00:10:00Z</dcterms:modified>
</cp:coreProperties>
</file>