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3C72" w14:textId="21B1179A" w:rsidR="00E36743" w:rsidRDefault="00E36743" w:rsidP="00E3674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fr-CA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t>S1</w:t>
      </w:r>
      <w:r w:rsidR="00C732F1">
        <w:rPr>
          <w:rFonts w:ascii="Calibri" w:eastAsia="Times New Roman" w:hAnsi="Calibri" w:cs="Calibri"/>
          <w:b/>
          <w:bCs/>
          <w:lang w:val="en-GB" w:eastAsia="fr-CA"/>
        </w:rPr>
        <w:t xml:space="preserve"> Table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 xml:space="preserve">. </w:t>
      </w:r>
      <w:r w:rsidRPr="00E36743">
        <w:rPr>
          <w:rFonts w:ascii="Calibri" w:eastAsia="Times New Roman" w:hAnsi="Calibri" w:cs="Calibri"/>
          <w:lang w:val="en-GB" w:eastAsia="fr-CA"/>
        </w:rPr>
        <w:t>Definitions to characterize the types of sources, specialization, and geographical focus of P</w:t>
      </w:r>
      <w:r w:rsidRPr="00244248">
        <w:rPr>
          <w:rFonts w:ascii="Calibri" w:eastAsia="Times New Roman" w:hAnsi="Calibri" w:cs="Calibri"/>
          <w:lang w:val="en-GB" w:eastAsia="fr-CA"/>
        </w:rPr>
        <w:t>ADI</w:t>
      </w:r>
      <w:r w:rsidRPr="00E36743">
        <w:rPr>
          <w:rFonts w:ascii="Calibri" w:eastAsia="Times New Roman" w:hAnsi="Calibri" w:cs="Calibri"/>
          <w:lang w:val="en-GB" w:eastAsia="fr-CA"/>
        </w:rPr>
        <w:t>-web and HealthMap</w:t>
      </w:r>
      <w:r w:rsidR="00244248">
        <w:rPr>
          <w:rFonts w:ascii="Calibri" w:eastAsia="Times New Roman" w:hAnsi="Calibri" w:cs="Calibri"/>
          <w:lang w:val="en-US" w:eastAsia="fr-CA"/>
        </w:rPr>
        <w:t>.</w:t>
      </w:r>
    </w:p>
    <w:p w14:paraId="4D38D9A8" w14:textId="77777777" w:rsidR="00E36743" w:rsidRPr="00E36743" w:rsidRDefault="00E36743" w:rsidP="00E367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fr-CA"/>
        </w:rPr>
      </w:pPr>
    </w:p>
    <w:tbl>
      <w:tblPr>
        <w:tblStyle w:val="Tableausimple4"/>
        <w:tblW w:w="0" w:type="dxa"/>
        <w:tblLook w:val="04A0" w:firstRow="1" w:lastRow="0" w:firstColumn="1" w:lastColumn="0" w:noHBand="0" w:noVBand="1"/>
      </w:tblPr>
      <w:tblGrid>
        <w:gridCol w:w="2084"/>
        <w:gridCol w:w="4379"/>
        <w:gridCol w:w="2177"/>
      </w:tblGrid>
      <w:tr w:rsidR="00E36743" w:rsidRPr="00E36743" w14:paraId="5C4512AA" w14:textId="77777777" w:rsidTr="00E3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2F2F2" w:themeFill="background1" w:themeFillShade="F2"/>
            <w:hideMark/>
          </w:tcPr>
          <w:p w14:paraId="1243E969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Specialization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2F2F2" w:themeFill="background1" w:themeFillShade="F2"/>
            <w:hideMark/>
          </w:tcPr>
          <w:p w14:paraId="525E2EB2" w14:textId="77777777" w:rsidR="00E36743" w:rsidRPr="00E36743" w:rsidRDefault="00E36743" w:rsidP="00E36743">
            <w:pPr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Definition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2F2F2" w:themeFill="background1" w:themeFillShade="F2"/>
            <w:hideMark/>
          </w:tcPr>
          <w:p w14:paraId="02323C6F" w14:textId="77777777" w:rsidR="00E36743" w:rsidRPr="00E36743" w:rsidRDefault="00E36743" w:rsidP="00E36743">
            <w:pPr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Example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21056DF6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60E9E145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Specialized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0773F8EC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Focused on the animal health domain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07213BF2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Avian Flu Diary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3DE41A9C" w14:textId="77777777" w:rsidTr="00E3674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hideMark/>
          </w:tcPr>
          <w:p w14:paraId="68582EF0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General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hideMark/>
          </w:tcPr>
          <w:p w14:paraId="1A0D8C59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Focused on all topics, including the animal health domain 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hideMark/>
          </w:tcPr>
          <w:p w14:paraId="14CE0009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The Guardian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1244F2A4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hideMark/>
          </w:tcPr>
          <w:p w14:paraId="72DD9521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Geographical focus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hideMark/>
          </w:tcPr>
          <w:p w14:paraId="39AF179D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b/>
                <w:bCs/>
                <w:lang w:val="en-GB" w:eastAsia="fr-CA"/>
              </w:rPr>
              <w:t>Definition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hideMark/>
          </w:tcPr>
          <w:p w14:paraId="0D29A8FF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b/>
                <w:bCs/>
                <w:lang w:val="en-GB" w:eastAsia="fr-CA"/>
              </w:rPr>
              <w:t>Example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008D86F6" w14:textId="77777777" w:rsidTr="00E3674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7A1D334C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Local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4D45F3E1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Sources that report news at a local or regional scale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0FA9CF97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Odisha News Insight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73069575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507F3A32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National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3BE87E29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Sources that report news at a national scale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613CC2B5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Indian veterinary authority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30A3EC5C" w14:textId="77777777" w:rsidTr="00E3674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5EA0A56F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International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53F77DF2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Sources that report news at an international scale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58A798F6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OIE, Reuters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48A8F3F2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hideMark/>
          </w:tcPr>
          <w:p w14:paraId="1BAF5AD8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Type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hideMark/>
          </w:tcPr>
          <w:p w14:paraId="313CC6A5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b/>
                <w:bCs/>
                <w:lang w:val="en-GB" w:eastAsia="fr-CA"/>
              </w:rPr>
              <w:t>Definition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hideMark/>
          </w:tcPr>
          <w:p w14:paraId="039D67EF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b/>
                <w:bCs/>
                <w:lang w:val="en-GB" w:eastAsia="fr-CA"/>
              </w:rPr>
              <w:t>Example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4D9BD070" w14:textId="77777777" w:rsidTr="00E3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14A366A1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International organization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5BA4EE8D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International source for animal disease notification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61607CAD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OIE, FAO, OMS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1579C330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6D983F7D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Other official authority (local/national)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04C88058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Sources that have the right to take control measures at the local or a national level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1AF07308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Ministry, customs, police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33821A16" w14:textId="77777777" w:rsidTr="00E3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7B41D4A3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Veterinary authority (local/national)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27876701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Any sources with the right to take health measures at a local or a national level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10875986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Veterinary authority of Taipei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7086B639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212F7E82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Online news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361503C4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Online news media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5F3E3511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Gulf News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1DC956A2" w14:textId="77777777" w:rsidTr="00E3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7B099BDE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Public organization/ association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3AAD9AE5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Public organizations or associations working in the field of health and the environment 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311C17C9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Agricultural Information Network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712E69F5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500D4BCF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 Laboratory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29221E91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Laboratory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1CFB5667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Namibia Central Veterinary Laboratory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4799C232" w14:textId="77777777" w:rsidTr="00E367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1CA3D338" w14:textId="77777777" w:rsidR="00E36743" w:rsidRPr="00E36743" w:rsidRDefault="00E36743" w:rsidP="00E3674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Private company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53EABE85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Private companies, typically animal industry companies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6F9BD07A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Meat production company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2ADD9A6A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70BBC4F7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Press agency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6E801889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An agency that gathers news reports and distributes them to other news organizations, such as online news outlets 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433A33AF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Xhinua, Reuters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3AA0053D" w14:textId="77777777" w:rsidTr="00E3674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1279A62F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Radio/television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5FE90C19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Radio and television channels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0A820FAD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OdishaTV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628C5116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27F5C124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Social media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19FF3C9A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Blogs and social media 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6FC48E19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Twitter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40F381D6" w14:textId="77777777" w:rsidTr="00E3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3C0FAA82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EBS tool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400D1E2F" w14:textId="77777777" w:rsidR="00E36743" w:rsidRPr="00E36743" w:rsidRDefault="00E36743" w:rsidP="00E3674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EBS tool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524BCC90" w14:textId="77777777" w:rsidR="00E36743" w:rsidRPr="00E36743" w:rsidRDefault="00E36743" w:rsidP="00E3674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HealthMap, ProMED, PADI-web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</w:tr>
      <w:tr w:rsidR="00E36743" w:rsidRPr="00E36743" w14:paraId="44606794" w14:textId="77777777" w:rsidTr="00E3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FFFFFF" w:themeFill="background1"/>
            <w:hideMark/>
          </w:tcPr>
          <w:p w14:paraId="58C8BA32" w14:textId="77777777" w:rsidR="00E36743" w:rsidRPr="00E36743" w:rsidRDefault="00E36743" w:rsidP="00E3674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A person</w:t>
            </w:r>
            <w:r w:rsidRPr="00E36743">
              <w:rPr>
                <w:rFonts w:ascii="Calibri" w:eastAsia="Times New Roman" w:hAnsi="Calibri" w:cs="Calibri"/>
                <w:lang w:eastAsia="fr-CA"/>
              </w:rPr>
              <w:t> </w:t>
            </w:r>
          </w:p>
        </w:tc>
        <w:tc>
          <w:tcPr>
            <w:tcW w:w="4665" w:type="dxa"/>
            <w:shd w:val="clear" w:color="auto" w:fill="FFFFFF" w:themeFill="background1"/>
            <w:hideMark/>
          </w:tcPr>
          <w:p w14:paraId="279BE6A2" w14:textId="77777777" w:rsidR="00E36743" w:rsidRPr="00E36743" w:rsidRDefault="00E36743" w:rsidP="00E3674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lang w:val="en-GB" w:eastAsia="fr-CA"/>
              </w:rPr>
              <w:t>A person cited as a source, which cannot be related to the other sources of this list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  <w:tc>
          <w:tcPr>
            <w:tcW w:w="2265" w:type="dxa"/>
            <w:shd w:val="clear" w:color="auto" w:fill="FFFFFF" w:themeFill="background1"/>
            <w:hideMark/>
          </w:tcPr>
          <w:p w14:paraId="22EB9FDB" w14:textId="77777777" w:rsidR="00E36743" w:rsidRPr="00E36743" w:rsidRDefault="00E36743" w:rsidP="00E3674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E36743">
              <w:rPr>
                <w:rFonts w:ascii="Calibri" w:eastAsia="Times New Roman" w:hAnsi="Calibri" w:cs="Calibri"/>
                <w:i/>
                <w:iCs/>
                <w:lang w:val="en-GB" w:eastAsia="fr-CA"/>
              </w:rPr>
              <w:t>A farmer, a local source</w:t>
            </w:r>
            <w:r w:rsidRPr="00E36743">
              <w:rPr>
                <w:rFonts w:ascii="Calibri" w:eastAsia="Times New Roman" w:hAnsi="Calibri" w:cs="Calibri"/>
                <w:lang w:val="en-US" w:eastAsia="fr-CA"/>
              </w:rPr>
              <w:t> </w:t>
            </w:r>
          </w:p>
        </w:tc>
      </w:tr>
    </w:tbl>
    <w:p w14:paraId="41727C7F" w14:textId="77777777" w:rsidR="00E36743" w:rsidRPr="00E36743" w:rsidRDefault="00E36743" w:rsidP="00E367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fr-CA"/>
        </w:rPr>
      </w:pPr>
      <w:r w:rsidRPr="00E36743">
        <w:rPr>
          <w:rFonts w:ascii="Times New Roman" w:eastAsia="Times New Roman" w:hAnsi="Times New Roman" w:cs="Times New Roman"/>
          <w:lang w:val="en-US" w:eastAsia="fr-CA"/>
        </w:rPr>
        <w:t> </w:t>
      </w:r>
    </w:p>
    <w:p w14:paraId="020D8618" w14:textId="77777777" w:rsidR="00FC2688" w:rsidRPr="00E36743" w:rsidRDefault="00FC2688">
      <w:pPr>
        <w:rPr>
          <w:lang w:val="en-US"/>
        </w:rPr>
      </w:pPr>
    </w:p>
    <w:sectPr w:rsidR="00FC2688" w:rsidRPr="00E367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43"/>
    <w:rsid w:val="001E5EC5"/>
    <w:rsid w:val="00244248"/>
    <w:rsid w:val="00530F2D"/>
    <w:rsid w:val="00C732F1"/>
    <w:rsid w:val="00E36743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15B"/>
  <w15:chartTrackingRefBased/>
  <w15:docId w15:val="{7EA3747E-AEB6-4AC7-A207-09506F9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3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E36743"/>
  </w:style>
  <w:style w:type="character" w:customStyle="1" w:styleId="spellingerror">
    <w:name w:val="spellingerror"/>
    <w:basedOn w:val="Policepardfaut"/>
    <w:rsid w:val="00E36743"/>
  </w:style>
  <w:style w:type="character" w:customStyle="1" w:styleId="eop">
    <w:name w:val="eop"/>
    <w:basedOn w:val="Policepardfaut"/>
    <w:rsid w:val="00E36743"/>
  </w:style>
  <w:style w:type="table" w:styleId="Tableausimple4">
    <w:name w:val="Plain Table 4"/>
    <w:basedOn w:val="TableauNormal"/>
    <w:uiPriority w:val="44"/>
    <w:rsid w:val="00E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6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5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Valentin</dc:creator>
  <cp:keywords/>
  <dc:description/>
  <cp:lastModifiedBy>Sarah Valentin</cp:lastModifiedBy>
  <cp:revision>3</cp:revision>
  <dcterms:created xsi:type="dcterms:W3CDTF">2022-07-25T15:41:00Z</dcterms:created>
  <dcterms:modified xsi:type="dcterms:W3CDTF">2022-07-25T16:15:00Z</dcterms:modified>
</cp:coreProperties>
</file>