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27.png" ContentType="image/png"/>
  <Override PartName="/word/media/rId39.png" ContentType="image/png"/>
  <Override PartName="/word/media/rId30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Cs/>
          <w:i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0.00015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$$M_0^1=7.3, \, M_0^2=8.3,\\ p_{cr}=42, \,N=88, q=1\\ \tau_1=28, \, \tau_2=25,\\ \tilde{p_1}=13, \, \tilde{p_2}=10$$</w:t>
      </w:r>
    </w:p>
    <w:p>
      <w:pPr>
        <w:pStyle w:val="FirstParagraph"/>
      </w:pPr>
      <w:r>
        <w:rPr>
          <w:iCs/>
          <w:i/>
        </w:rPr>
        <w:t xml:space="preserve">Обозначения:</w:t>
      </w:r>
    </w:p>
    <w:p>
      <w:pPr>
        <w:numPr>
          <w:ilvl w:val="0"/>
          <w:numId w:val="1001"/>
        </w:numPr>
        <w:pStyle w:val="Compact"/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numPr>
          <w:ilvl w:val="0"/>
          <w:numId w:val="1001"/>
        </w:numPr>
        <w:pStyle w:val="Compac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numPr>
          <w:ilvl w:val="0"/>
          <w:numId w:val="1001"/>
        </w:numPr>
        <w:pStyle w:val="Compac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numPr>
          <w:ilvl w:val="0"/>
          <w:numId w:val="1001"/>
        </w:numPr>
        <w:pStyle w:val="Compact"/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numPr>
          <w:ilvl w:val="0"/>
          <w:numId w:val="1001"/>
        </w:numPr>
        <w:pStyle w:val="Compac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numPr>
          <w:ilvl w:val="0"/>
          <w:numId w:val="1002"/>
        </w:numPr>
        <w:pStyle w:val="Compact"/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numPr>
          <w:ilvl w:val="0"/>
          <w:numId w:val="1002"/>
        </w:numPr>
        <w:pStyle w:val="Compact"/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</w:t>
      </w:r>
      <w:r>
        <w:rPr>
          <w:bCs/>
          <w:b/>
        </w:rPr>
        <w:t xml:space="preserve">model?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numPr>
          <w:ilvl w:val="0"/>
          <w:numId w:val="1003"/>
        </w:numPr>
        <w:pStyle w:val="Compac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numPr>
          <w:ilvl w:val="0"/>
          <w:numId w:val="1003"/>
        </w:numPr>
        <w:pStyle w:val="Compac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numPr>
          <w:ilvl w:val="0"/>
          <w:numId w:val="1003"/>
        </w:numPr>
        <w:pStyle w:val="Compact"/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numPr>
          <w:ilvl w:val="0"/>
          <w:numId w:val="1003"/>
        </w:numPr>
        <w:pStyle w:val="Compac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6" w:name="случай-1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</w:t>
      </w:r>
      <w:r>
        <w:t xml:space="preserve"> </w:t>
      </w:r>
      <w:r>
        <w:t xml:space="preserve">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" id="24" name="Picture"/>
            <a:graphic>
              <a:graphicData uri="http://schemas.openxmlformats.org/drawingml/2006/picture">
                <pic:pic>
                  <pic:nvPicPr>
                    <pic:cNvPr descr="image/1_Jul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оборотных средств фирмы 1 и фирмы 2</w:t>
      </w:r>
    </w:p>
    <w:bookmarkEnd w:id="26"/>
    <w:bookmarkStart w:id="33" w:name="случай-2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" id="28" name="Picture"/>
            <a:graphic>
              <a:graphicData uri="http://schemas.openxmlformats.org/drawingml/2006/picture">
                <pic:pic>
                  <pic:nvPicPr>
                    <pic:cNvPr descr="image/2_Juli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оборотных средств фирмы 1 и фирмы 2</w:t>
      </w:r>
    </w:p>
    <w:p>
      <w:pPr>
        <w:pStyle w:val="BodyText"/>
      </w:pPr>
      <w:r>
        <w:t xml:space="preserve">Посмотрим на приближенный график 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фирмы 1 и фирмы 2" title="" id="31" name="Picture"/>
            <a:graphic>
              <a:graphicData uri="http://schemas.openxmlformats.org/drawingml/2006/picture">
                <pic:pic>
                  <pic:nvPicPr>
                    <pic:cNvPr descr="image/3_Juli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оборотных средств фирмы 1 и фирмы 2</w:t>
      </w:r>
    </w:p>
    <w:bookmarkEnd w:id="33"/>
    <w:bookmarkEnd w:id="34"/>
    <w:bookmarkStart w:id="46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bookmarkStart w:id="38" w:name="случай-1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r>
        <w:drawing>
          <wp:inline>
            <wp:extent cx="3733800" cy="1746759"/>
            <wp:effectExtent b="0" l="0" r="0" t="0"/>
            <wp:docPr descr="График изменения оборотных средств фирмы 1 и фирмы 2" title="" id="36" name="Picture"/>
            <a:graphic>
              <a:graphicData uri="http://schemas.openxmlformats.org/drawingml/2006/picture">
                <pic:pic>
                  <pic:nvPicPr>
                    <pic:cNvPr descr="image/1_O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оборотных средств фирмы 1 и фирмы 2</w:t>
      </w:r>
    </w:p>
    <w:bookmarkEnd w:id="38"/>
    <w:bookmarkStart w:id="45" w:name="случай-2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(b/c1+0.00015)*M1*M2;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5).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r>
        <w:drawing>
          <wp:inline>
            <wp:extent cx="3733800" cy="1746759"/>
            <wp:effectExtent b="0" l="0" r="0" t="0"/>
            <wp:docPr descr="График изменения оборотных средств фирмы 1 и фирмы 2" title="" id="40" name="Picture"/>
            <a:graphic>
              <a:graphicData uri="http://schemas.openxmlformats.org/drawingml/2006/picture">
                <pic:pic>
                  <pic:nvPicPr>
                    <pic:cNvPr descr="image/2_O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оборотных средств фирмы 1 и фирмы 2</w:t>
      </w:r>
    </w:p>
    <w:p>
      <w:pPr>
        <w:pStyle w:val="BodyText"/>
      </w:pPr>
      <w:r>
        <w:t xml:space="preserve">Посмотрим на приближенный график (рис. 6).</w:t>
      </w:r>
    </w:p>
    <w:p>
      <w:pPr>
        <w:pStyle w:val="CaptionedFigure"/>
      </w:pPr>
      <w:r>
        <w:drawing>
          <wp:inline>
            <wp:extent cx="3733800" cy="1746759"/>
            <wp:effectExtent b="0" l="0" r="0" t="0"/>
            <wp:docPr descr="График изменения оборотных средств фирмы 1 и фирмы 2" title="" id="43" name="Picture"/>
            <a:graphic>
              <a:graphicData uri="http://schemas.openxmlformats.org/drawingml/2006/picture">
                <pic:pic>
                  <pic:nvPicPr>
                    <pic:cNvPr descr="image/3_O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изменения оборотных средств фирмы 1 и фирмы 2</w:t>
      </w:r>
    </w:p>
    <w:bookmarkEnd w:id="45"/>
    <w:bookmarkEnd w:id="46"/>
    <w:bookmarkStart w:id="47" w:name="Xa389e6b8c0ee7efd82f61c0fa810833630cb87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Все графики получились идентичными. Что Julia, что OpenModelica справились с решением системы ДУ и построением графиков.</w:t>
      </w:r>
    </w:p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Разанацуа Сара Естэлл</dc:creator>
  <dc:language>ru-RU</dc:language>
  <cp:keywords/>
  <dcterms:created xsi:type="dcterms:W3CDTF">2026-05-30T05:14:34Z</dcterms:created>
  <dcterms:modified xsi:type="dcterms:W3CDTF">2026-05-30T05:14:34Z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Модель конкуренции двух фирм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