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Разанацуа</w:t>
      </w:r>
      <w:r>
        <w:t xml:space="preserve"> </w:t>
      </w:r>
      <w:r>
        <w:t xml:space="preserve">Сара</w:t>
      </w:r>
      <w:r>
        <w:t xml:space="preserve"> </w:t>
      </w:r>
      <w:r>
        <w:t xml:space="preserve">Естэлл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numPr>
          <w:ilvl w:val="0"/>
          <w:numId w:val="1002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2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2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2"/>
        </w:numPr>
        <w:pStyle w:val="Compact"/>
      </w:pPr>
      <w:r>
        <w:t xml:space="preserve">Выполните основные команды меню левой (или правой) панели. Оцените степеньподробности вывода информации о файлах.</w:t>
      </w:r>
    </w:p>
    <w:p>
      <w:pPr>
        <w:numPr>
          <w:ilvl w:val="0"/>
          <w:numId w:val="1002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2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2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3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3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3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3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3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3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2"/>
    <w:bookmarkEnd w:id="23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Изучим информацию о mc, вызвав в командной строке man mc. (рис. 1)</w:t>
      </w:r>
    </w:p>
    <w:p>
      <w:pPr>
        <w:pStyle w:val="CaptionedFigure"/>
      </w:pPr>
      <w:r>
        <w:drawing>
          <wp:inline>
            <wp:extent cx="2103120" cy="167640"/>
            <wp:effectExtent b="0" l="0" r="0" t="0"/>
            <wp:docPr descr="Команда man mc" title="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man mc</w:t>
      </w:r>
    </w:p>
    <w:p>
      <w:pPr>
        <w:numPr>
          <w:ilvl w:val="0"/>
          <w:numId w:val="1004"/>
        </w:numPr>
        <w:pStyle w:val="Compact"/>
      </w:pPr>
      <w:r>
        <w:t xml:space="preserve">Запустим из командной строки mc, изучим его структуру и меню. (рис. 2)</w:t>
      </w:r>
    </w:p>
    <w:p>
      <w:pPr>
        <w:pStyle w:val="CaptionedFigure"/>
      </w:pPr>
      <w:r>
        <w:drawing>
          <wp:inline>
            <wp:extent cx="5334000" cy="5074903"/>
            <wp:effectExtent b="0" l="0" r="0" t="0"/>
            <wp:docPr descr="mc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mc</w:t>
      </w:r>
    </w:p>
    <w:p>
      <w:pPr>
        <w:numPr>
          <w:ilvl w:val="0"/>
          <w:numId w:val="1005"/>
        </w:numPr>
        <w:pStyle w:val="Compact"/>
      </w:pPr>
      <w:r>
        <w:t xml:space="preserve">Выполним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3)</w:t>
      </w:r>
    </w:p>
    <w:p>
      <w:pPr>
        <w:pStyle w:val="CaptionedFigure"/>
      </w:pPr>
      <w:r>
        <w:drawing>
          <wp:inline>
            <wp:extent cx="3581400" cy="5737860"/>
            <wp:effectExtent b="0" l="0" r="0" t="0"/>
            <wp:docPr descr="Информации о размере и правах доступа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73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Информации о размере и правах доступа</w:t>
      </w:r>
    </w:p>
    <w:p>
      <w:pPr>
        <w:numPr>
          <w:ilvl w:val="0"/>
          <w:numId w:val="1006"/>
        </w:numPr>
        <w:pStyle w:val="Compact"/>
      </w:pPr>
      <w:r>
        <w:t xml:space="preserve">Выполним основные команды меню левой (или правой) панели. Оцениv степень подробности вывода информации о файлах. (рис. 4)</w:t>
      </w:r>
    </w:p>
    <w:p>
      <w:pPr>
        <w:pStyle w:val="CaptionedFigure"/>
      </w:pPr>
      <w:r>
        <w:drawing>
          <wp:inline>
            <wp:extent cx="5334000" cy="4773420"/>
            <wp:effectExtent b="0" l="0" r="0" t="0"/>
            <wp:docPr descr="Команды правой панели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Команды правой панели</w:t>
      </w:r>
    </w:p>
    <w:p>
      <w:pPr>
        <w:numPr>
          <w:ilvl w:val="0"/>
          <w:numId w:val="1007"/>
        </w:numPr>
        <w:pStyle w:val="Compact"/>
      </w:pPr>
      <w:r>
        <w:t xml:space="preserve">Используя возможности подменю Файл , выполним: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 (рис. 5-7)</w:t>
      </w:r>
    </w:p>
    <w:p>
      <w:pPr>
        <w:pStyle w:val="CaptionedFigure"/>
      </w:pPr>
      <w:r>
        <w:drawing>
          <wp:inline>
            <wp:extent cx="5334000" cy="4790514"/>
            <wp:effectExtent b="0" l="0" r="0" t="0"/>
            <wp:docPr descr="Просмотр содержимого файла" title="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0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файла</w:t>
      </w:r>
    </w:p>
    <w:p>
      <w:pPr>
        <w:pStyle w:val="CaptionedFigure"/>
      </w:pPr>
      <w:r>
        <w:drawing>
          <wp:inline>
            <wp:extent cx="5334000" cy="5152802"/>
            <wp:effectExtent b="0" l="0" r="0" t="0"/>
            <wp:docPr descr="Создание каталога" title="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2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каталога</w:t>
      </w:r>
    </w:p>
    <w:p>
      <w:pPr>
        <w:pStyle w:val="CaptionedFigure"/>
      </w:pPr>
      <w:r>
        <w:drawing>
          <wp:inline>
            <wp:extent cx="5334000" cy="5091288"/>
            <wp:effectExtent b="0" l="0" r="0" t="0"/>
            <wp:docPr descr="Копирование файлов в созданный каталог" title="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Копирование файлов в созданный каталог</w:t>
      </w:r>
    </w:p>
    <w:p>
      <w:pPr>
        <w:numPr>
          <w:ilvl w:val="0"/>
          <w:numId w:val="1008"/>
        </w:numPr>
        <w:pStyle w:val="Compact"/>
      </w:pPr>
      <w:r>
        <w:t xml:space="preserve">С помощью соответствующих средств подменю Команда осуществим:</w:t>
      </w:r>
    </w:p>
    <w:p>
      <w:pPr>
        <w:numPr>
          <w:ilvl w:val="0"/>
          <w:numId w:val="1009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9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9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9"/>
        </w:numPr>
        <w:pStyle w:val="Compact"/>
      </w:pPr>
      <w:r>
        <w:t xml:space="preserve">анализ файла меню и файла расширений. (рис. 8-10)</w:t>
      </w:r>
    </w:p>
    <w:p>
      <w:pPr>
        <w:pStyle w:val="CaptionedFigure"/>
      </w:pPr>
      <w:r>
        <w:drawing>
          <wp:inline>
            <wp:extent cx="5334000" cy="5080536"/>
            <wp:effectExtent b="0" l="0" r="0" t="0"/>
            <wp:docPr descr="Переход в домашний каталог" title="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Переход в домашний каталог</w:t>
      </w:r>
    </w:p>
    <w:p>
      <w:pPr>
        <w:pStyle w:val="CaptionedFigure"/>
      </w:pPr>
      <w:r>
        <w:drawing>
          <wp:inline>
            <wp:extent cx="5334000" cy="5164127"/>
            <wp:effectExtent b="0" l="0" r="0" t="0"/>
            <wp:docPr descr="Файл меню" title="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4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Файл меню</w:t>
      </w:r>
    </w:p>
    <w:p>
      <w:pPr>
        <w:pStyle w:val="CaptionedFigure"/>
      </w:pPr>
      <w:r>
        <w:drawing>
          <wp:inline>
            <wp:extent cx="5334000" cy="5300061"/>
            <wp:effectExtent b="0" l="0" r="0" t="0"/>
            <wp:docPr descr="Файл расширений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0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Файл расширений</w:t>
      </w:r>
    </w:p>
    <w:p>
      <w:pPr>
        <w:numPr>
          <w:ilvl w:val="0"/>
          <w:numId w:val="1010"/>
        </w:numPr>
        <w:pStyle w:val="Compact"/>
      </w:pPr>
      <w:r>
        <w:t xml:space="preserve">Вызовим подменю Настройки. Освоим операции, определяющие структуру экрана mc (Full screen, Double Width, Show Hidden Files и т.д.) (рис. 11-13)</w:t>
      </w:r>
    </w:p>
    <w:p>
      <w:pPr>
        <w:pStyle w:val="CaptionedFigure"/>
      </w:pPr>
      <w:r>
        <w:drawing>
          <wp:inline>
            <wp:extent cx="5334000" cy="5260699"/>
            <wp:effectExtent b="0" l="0" r="0" t="0"/>
            <wp:docPr descr="Окно “внешний вид”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Окно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</w:p>
    <w:p>
      <w:pPr>
        <w:pStyle w:val="CaptionedFigure"/>
      </w:pPr>
      <w:r>
        <w:drawing>
          <wp:inline>
            <wp:extent cx="5334000" cy="5300061"/>
            <wp:effectExtent b="0" l="0" r="0" t="0"/>
            <wp:docPr descr="Окно “Настройка панели”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0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Окно</w:t>
      </w:r>
      <w:r>
        <w:t xml:space="preserve"> </w:t>
      </w:r>
      <w:r>
        <w:t xml:space="preserve">“</w:t>
      </w:r>
      <w:r>
        <w:t xml:space="preserve">Настройка панели</w:t>
      </w:r>
      <w:r>
        <w:t xml:space="preserve">”</w:t>
      </w:r>
    </w:p>
    <w:p>
      <w:pPr>
        <w:pStyle w:val="CaptionedFigure"/>
      </w:pPr>
      <w:r>
        <w:drawing>
          <wp:inline>
            <wp:extent cx="5334000" cy="5091288"/>
            <wp:effectExtent b="0" l="0" r="0" t="0"/>
            <wp:docPr descr="Окно “Параметры конфигурации”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Окно</w:t>
      </w:r>
      <w:r>
        <w:t xml:space="preserve"> </w:t>
      </w:r>
      <w:r>
        <w:t xml:space="preserve">“</w:t>
      </w:r>
      <w:r>
        <w:t xml:space="preserve">Параметры конфигурации</w:t>
      </w:r>
      <w:r>
        <w:t xml:space="preserve">”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Создадим текстовой файл text.txt.</w:t>
      </w:r>
      <w:r>
        <w:t xml:space="preserve"> </w:t>
      </w:r>
      <w:r>
        <w:t xml:space="preserve">2. Откроем этот файл с помощью встроенного в mc редактора.</w:t>
      </w:r>
      <w:r>
        <w:t xml:space="preserve"> </w:t>
      </w:r>
      <w:r>
        <w:t xml:space="preserve">3. Вставим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(рис. 14)</w:t>
      </w:r>
    </w:p>
    <w:p>
      <w:pPr>
        <w:pStyle w:val="CaptionedFigure"/>
      </w:pPr>
      <w:r>
        <w:drawing>
          <wp:inline>
            <wp:extent cx="5334000" cy="4847548"/>
            <wp:effectExtent b="0" l="0" r="0" t="0"/>
            <wp:docPr descr="Текстовый файл text.txt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7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Текстовый файл text.txt</w:t>
      </w:r>
    </w:p>
    <w:p>
      <w:pPr>
        <w:numPr>
          <w:ilvl w:val="0"/>
          <w:numId w:val="1011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numPr>
          <w:ilvl w:val="0"/>
          <w:numId w:val="1012"/>
        </w:numPr>
        <w:pStyle w:val="Compact"/>
      </w:pPr>
      <w:r>
        <w:t xml:space="preserve">Удалим строку текста.</w:t>
      </w:r>
    </w:p>
    <w:p>
      <w:pPr>
        <w:numPr>
          <w:ilvl w:val="0"/>
          <w:numId w:val="1012"/>
        </w:numPr>
        <w:pStyle w:val="Compact"/>
      </w:pPr>
      <w:r>
        <w:t xml:space="preserve">Выделим фрагмент текста и скопируем его на новую строку.</w:t>
      </w:r>
    </w:p>
    <w:p>
      <w:pPr>
        <w:numPr>
          <w:ilvl w:val="0"/>
          <w:numId w:val="1012"/>
        </w:numPr>
        <w:pStyle w:val="Compact"/>
      </w:pPr>
      <w:r>
        <w:t xml:space="preserve">Выделим фрагмент текста и перенесем его на новую строку.</w:t>
      </w:r>
    </w:p>
    <w:p>
      <w:pPr>
        <w:numPr>
          <w:ilvl w:val="0"/>
          <w:numId w:val="1012"/>
        </w:numPr>
        <w:pStyle w:val="Compact"/>
      </w:pPr>
      <w:r>
        <w:t xml:space="preserve">Сохраним файл.</w:t>
      </w:r>
    </w:p>
    <w:p>
      <w:pPr>
        <w:numPr>
          <w:ilvl w:val="0"/>
          <w:numId w:val="1012"/>
        </w:numPr>
        <w:pStyle w:val="Compact"/>
      </w:pPr>
      <w:r>
        <w:t xml:space="preserve">Отменим последнее действие.</w:t>
      </w:r>
    </w:p>
    <w:p>
      <w:pPr>
        <w:numPr>
          <w:ilvl w:val="0"/>
          <w:numId w:val="1012"/>
        </w:numPr>
        <w:pStyle w:val="Compact"/>
      </w:pPr>
      <w:r>
        <w:t xml:space="preserve">Перейдем в конец файла (нажав комбинацию клавиш) и напишем некоторый текст.</w:t>
      </w:r>
    </w:p>
    <w:p>
      <w:pPr>
        <w:numPr>
          <w:ilvl w:val="0"/>
          <w:numId w:val="1012"/>
        </w:numPr>
        <w:pStyle w:val="Compact"/>
      </w:pPr>
      <w:r>
        <w:t xml:space="preserve">Перейдем в начало файла (нажав комбинацию клавиш) и напишем некоторый текст.</w:t>
      </w:r>
    </w:p>
    <w:p>
      <w:pPr>
        <w:numPr>
          <w:ilvl w:val="0"/>
          <w:numId w:val="1012"/>
        </w:numPr>
        <w:pStyle w:val="Compact"/>
      </w:pPr>
      <w:r>
        <w:t xml:space="preserve">Сохраним и закроем файл.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5334000" cy="5153759"/>
            <wp:effectExtent b="0" l="0" r="0" t="0"/>
            <wp:docPr descr="Сохранение изменений в файле text.txt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3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Сохранение изменений в файле text.txt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numPr>
          <w:ilvl w:val="0"/>
          <w:numId w:val="1013"/>
        </w:numPr>
        <w:pStyle w:val="Compact"/>
      </w:pPr>
      <w:r>
        <w:t xml:space="preserve">В процессе выполнения лабораторной работы я освоила работу с командной оболочкой mc. Приобрела практические навыки работы по просмотру каталогов и файлов и по манипуляции с ними.</w:t>
      </w:r>
    </w:p>
    <w:bookmarkEnd w:id="70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1"/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9</dc:title>
  <dc:creator>Разанацуа Сара Естэлл</dc:creator>
  <dc:language>ru-RU</dc:language>
  <cp:keywords/>
  <dcterms:created xsi:type="dcterms:W3CDTF">2024-04-05T17:19:47Z</dcterms:created>
  <dcterms:modified xsi:type="dcterms:W3CDTF">2024-04-05T17:19:47Z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Командная оболочка Midnight Commander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