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Реализация</w:t>
      </w:r>
      <w:r>
        <w:t xml:space="preserve"> </w:t>
      </w:r>
      <w:r>
        <w:t xml:space="preserve">основных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подходе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Петри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Реализация математической модели эпидемии SIR с использованием аппарата сетей Петри в языке программирования Julia, а также проведение детерминированного и стохастического анализа динамики распространения заболевания.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Код модели</w:t>
      </w:r>
    </w:p>
    <w:p>
      <w:pPr>
        <w:numPr>
          <w:ilvl w:val="0"/>
          <w:numId w:val="1001"/>
        </w:numPr>
      </w:pPr>
      <w:r>
        <w:t xml:space="preserve">Базовый прогон модели</w:t>
      </w:r>
    </w:p>
    <w:p>
      <w:pPr>
        <w:numPr>
          <w:ilvl w:val="0"/>
          <w:numId w:val="1001"/>
        </w:numPr>
      </w:pPr>
      <w:r>
        <w:t xml:space="preserve">Коэффициент заражения</w:t>
      </w:r>
      <w:r>
        <w:t xml:space="preserve"> </w:t>
      </w:r>
      <m:oMath>
        <m:r>
          <m:t>β</m:t>
        </m:r>
      </m:oMath>
    </w:p>
    <w:p>
      <w:pPr>
        <w:numPr>
          <w:ilvl w:val="0"/>
          <w:numId w:val="1001"/>
        </w:numPr>
      </w:pPr>
      <w:r>
        <w:t xml:space="preserve">Итоговый отчёт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модель-sir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SIR</w:t>
      </w:r>
    </w:p>
    <w:p>
      <w:pPr>
        <w:pStyle w:val="FirstParagraph"/>
      </w:pPr>
      <w:r>
        <w:t xml:space="preserve">Реализована модель эпидемии SIR (Susceptible–Infectious–Recovered) с использованием сетей Петри. Модель описывает переходы между тремя состояниями:</w:t>
      </w:r>
    </w:p>
    <w:p>
      <w:pPr>
        <w:numPr>
          <w:ilvl w:val="0"/>
          <w:numId w:val="1002"/>
        </w:numPr>
        <w:pStyle w:val="Compact"/>
      </w:pPr>
      <m:oMath>
        <m:r>
          <m:t>𝑆</m:t>
        </m:r>
      </m:oMath>
      <w:r>
        <w:t xml:space="preserve"> </w:t>
      </w:r>
      <w:r>
        <w:t xml:space="preserve">(восприимчивые) — могут заразиться;</w:t>
      </w:r>
      <w:r>
        <w:t xml:space="preserve"> </w:t>
      </w:r>
      <w:r>
        <w:t xml:space="preserve">—</w:t>
      </w:r>
      <w:r>
        <w:t xml:space="preserve"> </w:t>
      </w:r>
      <m:oMath>
        <m:r>
          <m:t>𝐼</m:t>
        </m:r>
      </m:oMath>
      <w:r>
        <w:t xml:space="preserve"> </w:t>
      </w:r>
      <w:r>
        <w:t xml:space="preserve">(инфицированные) — заражают других и выздоравливают;</w:t>
      </w:r>
      <w:r>
        <w:t xml:space="preserve"> </w:t>
      </w:r>
      <w:r>
        <w:t xml:space="preserve">—</w:t>
      </w:r>
      <w:r>
        <w:t xml:space="preserve"> </w:t>
      </w:r>
      <m:oMath>
        <m:r>
          <m:t>𝑅</m:t>
        </m:r>
      </m:oMath>
      <w:r>
        <w:t xml:space="preserve"> </w:t>
      </w:r>
      <w:r>
        <w:t xml:space="preserve">(выздоровевшие / с иммунитетом) — больше не участвуют в эпидемии.</w:t>
      </w:r>
    </w:p>
    <w:p>
      <w:pPr>
        <w:pStyle w:val="FirstParagraph"/>
      </w:pPr>
      <w:r>
        <w:t xml:space="preserve">Сеть Петри содержит два перехода:</w:t>
      </w:r>
    </w:p>
    <w:p>
      <w:pPr>
        <w:pStyle w:val="BodyText"/>
      </w:pPr>
      <w:r>
        <w:t xml:space="preserve">— infection:</w:t>
      </w:r>
      <w:r>
        <w:t xml:space="preserve"> </w:t>
      </w:r>
      <m:oMath>
        <m:r>
          <m:t>𝑆</m:t>
        </m:r>
        <m:r>
          <m:rPr>
            <m:sty m:val="p"/>
          </m:rPr>
          <m:t>+</m:t>
        </m:r>
        <m:r>
          <m:t>𝐼</m:t>
        </m:r>
        <m:r>
          <m:rPr>
            <m:sty m:val="p"/>
          </m:rPr>
          <m:t>→</m:t>
        </m:r>
        <m:r>
          <m:t>𝐼</m:t>
        </m:r>
        <m:r>
          <m:rPr>
            <m:sty m:val="p"/>
          </m:rPr>
          <m:t>+</m:t>
        </m:r>
        <m:r>
          <m:t>𝐼</m:t>
        </m:r>
      </m:oMath>
      <w:r>
        <w:t xml:space="preserve"> </w:t>
      </w:r>
      <w:r>
        <w:t xml:space="preserve">(скорость</w:t>
      </w:r>
      <w:r>
        <w:t xml:space="preserve"> </w:t>
      </w:r>
      <m:oMath>
        <m:r>
          <m:t>β</m:t>
        </m:r>
      </m:oMath>
      <w:r>
        <w:t xml:space="preserve">);</w:t>
      </w:r>
      <w:r>
        <w:t xml:space="preserve"> </w:t>
      </w:r>
      <w:r>
        <w:t xml:space="preserve">— recovery:</w:t>
      </w:r>
      <w:r>
        <w:t xml:space="preserve"> </w:t>
      </w:r>
      <m:oMath>
        <m:r>
          <m:t>𝐼</m:t>
        </m:r>
        <m:r>
          <m:rPr>
            <m:sty m:val="p"/>
          </m:rPr>
          <m:t>→</m:t>
        </m:r>
        <m:r>
          <m:t>𝑅</m:t>
        </m:r>
      </m:oMath>
      <w:r>
        <w:t xml:space="preserve"> </w:t>
      </w:r>
      <w:r>
        <w:t xml:space="preserve">(скорость</w:t>
      </w:r>
      <w:r>
        <w:t xml:space="preserve"> </w:t>
      </w:r>
      <m:oMath>
        <m:r>
          <m:t>γ</m:t>
        </m:r>
      </m:oMath>
      <w:r>
        <w:t xml:space="preserve">).</w:t>
      </w:r>
    </w:p>
    <w:bookmarkEnd w:id="22"/>
    <w:bookmarkEnd w:id="23"/>
    <w:bookmarkStart w:id="7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0" w:name="код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Код модели</w:t>
      </w:r>
    </w:p>
    <w:p>
      <w:pPr>
        <w:pStyle w:val="FirstParagraph"/>
      </w:pPr>
      <w:r>
        <w:t xml:space="preserve">Данный код реализует переход от теоретической схемы эпидемии к вычислимой модели. Благодаря использованию сетей Петри, мы можем гибко настраивать параметры инфекции и автоматически генерировать базу для проведения как обычного, так и случайного анализа динамики популяции.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fig-001?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741271"/>
            <wp:effectExtent b="0" l="0" r="0" t="0"/>
            <wp:docPr descr="Fig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Вывод в консоль.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fig-002?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185962" cy="644892"/>
            <wp:effectExtent b="0" l="0" r="0" t="0"/>
            <wp:docPr descr="Fig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64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bookmarkEnd w:id="30"/>
    <w:bookmarkStart w:id="48" w:name="базовый-прогон-модел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Базовый прогон модели</w:t>
      </w:r>
    </w:p>
    <w:p>
      <w:pPr>
        <w:pStyle w:val="FirstParagraph"/>
      </w:pPr>
      <w:r>
        <w:t xml:space="preserve">В задаче, мы объединим логику модели, произвестим расчеты и сохраним результаты.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fig-003?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668998"/>
            <wp:effectExtent b="0" l="0" r="0" t="0"/>
            <wp:docPr descr="Fig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Мы используем библиотеку DrWatson, которая гарантирует, что пути к файлам и структура папок будут одинаковыми на любом компьютере.</w:t>
      </w:r>
    </w:p>
    <w:p>
      <w:pPr>
        <w:pStyle w:val="BodyText"/>
      </w:pPr>
      <w:r>
        <w:t xml:space="preserve">Скрипт загружает модуль SIRPetri.jl и задает ключевые параметры болезни: коэффициент заражения (</w:t>
      </w:r>
      <m:oMath>
        <m:r>
          <m:t>β</m:t>
        </m:r>
      </m:oMath>
      <w:r>
        <w:t xml:space="preserve"> </w:t>
      </w:r>
      <w:r>
        <w:t xml:space="preserve">= 0.3) и коэффициент выздоровления (</w:t>
      </w:r>
      <m:oMath>
        <m:r>
          <m:t>γ</m:t>
        </m:r>
      </m:oMath>
      <w:r>
        <w:t xml:space="preserve"> </w:t>
      </w:r>
      <w:r>
        <w:t xml:space="preserve">= 0.1).</w:t>
      </w:r>
    </w:p>
    <w:p>
      <w:pPr>
        <w:pStyle w:val="BodyText"/>
      </w:pPr>
      <w:r>
        <w:t xml:space="preserve">Детерминированный подход: Рассчитывает «средний» сценарий развития эпидемии. Это дает четкие, плавные кривые, полезные для общего прогноза.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fig-004?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462323"/>
            <wp:effectExtent b="0" l="0" r="0" t="0"/>
            <wp:docPr descr="Fig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Стохастический подход: Учитывает фактор случайности (через Random.seed!). Это имитирует реальную жизнь, где каждое заражение или выздоровление — случайное событие. Сравнение этих двух подходов позволяет увидеть, насколько сильно случайность может отклонить эпидемию от теоретического среднего.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fig-005?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526725"/>
            <wp:effectExtent b="0" l="0" r="0" t="0"/>
            <wp:docPr descr="Fig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Первая таблица.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fig-006?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526725"/>
            <wp:effectExtent b="0" l="0" r="0" t="0"/>
            <wp:docPr descr="Fig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Вторая таблица.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fig-007?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789348"/>
            <wp:effectExtent b="0" l="0" r="0" t="0"/>
            <wp:docPr descr="Fig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Выполнение кода из jupyter notebook.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fig-008?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104822"/>
            <wp:effectExtent b="0" l="0" r="0" t="0"/>
            <wp:docPr descr="Fig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4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bookmarkEnd w:id="48"/>
    <w:bookmarkStart w:id="61" w:name="коэффициент-заражения-beta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Коэффициент заражения</w:t>
      </w:r>
      <w:r>
        <w:t xml:space="preserve"> </w:t>
      </w:r>
      <m:oMath>
        <m:r>
          <m:t>β</m:t>
        </m:r>
      </m:oMath>
    </w:p>
    <w:p>
      <w:pPr>
        <w:pStyle w:val="FirstParagraph"/>
      </w:pPr>
      <w:r>
        <w:t xml:space="preserve">Здесь я выяснила, как изменение интенсивности заражения (</w:t>
      </w:r>
      <m:oMath>
        <m:r>
          <m:t>β</m:t>
        </m:r>
      </m:oMath>
      <w:r>
        <w:t xml:space="preserve">) влияет на развитие эпидемии.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fig-009?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719846"/>
            <wp:effectExtent b="0" l="0" r="0" t="0"/>
            <wp:docPr descr="Fig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Код запускает цикл симуляций, перебирая значения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 0.1 до 0.8. Для каждого значения фиксируются два показателя:</w:t>
      </w:r>
      <w:r>
        <w:t xml:space="preserve"> </w:t>
      </w:r>
      <w:r>
        <w:t xml:space="preserve">- Пик заболеваемости (максимальная нагрузка на больницы).</w:t>
      </w:r>
      <w:r>
        <w:t xml:space="preserve"> </w:t>
      </w:r>
      <w:r>
        <w:t xml:space="preserve">- Итоговое число переболевших (общий масштаб эпидемии).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fig-010?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532979"/>
            <wp:effectExtent b="0" l="0" r="0" t="0"/>
            <wp:docPr descr="Fig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Это исследовательская часть работы, которая показывает не просто один сценарий, а общую закономерность поведения модели.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fig-011?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658708"/>
            <wp:effectExtent b="0" l="0" r="0" t="0"/>
            <wp:docPr descr="Fig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Выполнение кода из jupyter notebook.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fig-012?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541854"/>
            <wp:effectExtent b="0" l="0" r="0" t="0"/>
            <wp:docPr descr="Fig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bookmarkEnd w:id="61"/>
    <w:bookmarkStart w:id="77" w:name="итоговый-отчёт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Итоговый отчёт</w:t>
      </w:r>
    </w:p>
    <w:p>
      <w:pPr>
        <w:pStyle w:val="FirstParagraph"/>
      </w:pPr>
      <w:r>
        <w:t xml:space="preserve">Здесь мы выполняем итоговый сравнительный анализ и визуализацию всех полученных данных.</w:t>
      </w:r>
    </w:p>
    <w:p>
      <w:pPr>
        <w:numPr>
          <w:ilvl w:val="0"/>
          <w:numId w:val="1003"/>
        </w:numPr>
        <w:pStyle w:val="Compact"/>
      </w:pPr>
      <w:r>
        <w:t xml:space="preserve">Интеграция результатов: Скрипт объединяет данные из разных симуляций, что позволяет проводить комплексный анализ без повторных вычислений.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fig-013?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640225"/>
            <wp:effectExtent b="0" l="0" r="0" t="0"/>
            <wp:docPr descr="Fig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numPr>
          <w:ilvl w:val="0"/>
          <w:numId w:val="1004"/>
        </w:numPr>
        <w:pStyle w:val="Compact"/>
      </w:pPr>
      <w:r>
        <w:t xml:space="preserve">Анализ отклонений: На графике сравнения (Comparison) наглядно демонстрируется, как случайные процессы в стохастической модели создают отклонения от теоретической средней кривой.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fig-014?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476691"/>
            <wp:effectExtent b="0" l="0" r="0" t="0"/>
            <wp:docPr descr="Fig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numPr>
          <w:ilvl w:val="0"/>
          <w:numId w:val="1005"/>
        </w:numPr>
        <w:pStyle w:val="Compact"/>
      </w:pPr>
      <w:r>
        <w:t xml:space="preserve">Оценка рисков: График чувствительности (Sensitivity) связывает биологические параметры вируса с его опасностью для популяции (высотой пика заболеваемости).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fig-015?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491281"/>
            <wp:effectExtent b="0" l="0" r="0" t="0"/>
            <wp:docPr descr="Fig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Выполнение кода из jupyter notebook.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fig-016?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379952"/>
            <wp:effectExtent b="0" l="0" r="0" t="0"/>
            <wp:docPr descr="Fig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p>
      <w:pPr>
        <w:pStyle w:val="BodyText"/>
      </w:pPr>
      <w:r>
        <w:t xml:space="preserve">Выполнение кода из jupyter notebook.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fig-017?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645011"/>
            <wp:effectExtent b="0" l="0" r="0" t="0"/>
            <wp:docPr descr="Fig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</w:t>
      </w:r>
    </w:p>
    <w:bookmarkEnd w:id="77"/>
    <w:bookmarkEnd w:id="78"/>
    <w:bookmarkStart w:id="7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прошли путь от описания модели через сети Петри до получения конкретных графиков, которые позволяют прогнозировать нагрузку на систему здравоохранения в зависимости от параметров инфекции.</w:t>
      </w:r>
    </w:p>
    <w:bookmarkEnd w:id="79"/>
    <w:bookmarkStart w:id="8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80">
        <w:r>
          <w:rPr>
            <w:rStyle w:val="Hyperlink"/>
          </w:rPr>
          <w:t xml:space="preserve">https://esystem.rudn.ru/pluginfile.php/3145800/mod_resource/content/1/lab06.pdf}</w:t>
        </w:r>
      </w:hyperlink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80" Target="https://esystem.rudn.ru/pluginfile.php/3145800/mod_resource/content/1/lab06.pdf%7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esystem.rudn.ru/pluginfile.php/3145800/mod_resource/content/1/lab06.pdf%7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 6</dc:title>
  <dc:creator/>
  <dc:language>ru-RU</dc:language>
  <cp:keywords/>
  <dcterms:created xsi:type="dcterms:W3CDTF">2026-04-28T19:31:01Z</dcterms:created>
  <dcterms:modified xsi:type="dcterms:W3CDTF">2026-04-28T19:31:01Z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cense">
    <vt:lpwstr>CC BY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Реализация основных моделей в подходе сетей Петри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