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52.png" ContentType="image/png"/>
  <Override PartName="/word/media/rId56.png" ContentType="image/png"/>
  <Override PartName="/word/media/rId63.png" ContentType="image/png"/>
  <Override PartName="/word/media/rId66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основных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агентном</w:t>
      </w:r>
      <w:r>
        <w:t xml:space="preserve"> </w:t>
      </w:r>
      <w:r>
        <w:t xml:space="preserve">подходе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 основе классической компартментальной модели SIR (Susceptible-InfectiousRecovered).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для кода.</w:t>
      </w:r>
    </w:p>
    <w:p>
      <w:pPr>
        <w:numPr>
          <w:ilvl w:val="0"/>
          <w:numId w:val="1001"/>
        </w:numPr>
        <w:pStyle w:val="Compact"/>
      </w:pPr>
      <w:r>
        <w:t xml:space="preserve">Установить необходимые пакеты.</w:t>
      </w:r>
    </w:p>
    <w:p>
      <w:pPr>
        <w:numPr>
          <w:ilvl w:val="0"/>
          <w:numId w:val="1001"/>
        </w:numPr>
        <w:pStyle w:val="Compact"/>
      </w:pPr>
      <w:r>
        <w:t xml:space="preserve">Выполнить предложенный код.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из литературного кода:</w:t>
      </w:r>
    </w:p>
    <w:p>
      <w:pPr>
        <w:numPr>
          <w:ilvl w:val="0"/>
          <w:numId w:val="1002"/>
        </w:numPr>
        <w:pStyle w:val="Compact"/>
      </w:pPr>
      <w:r>
        <w:t xml:space="preserve">чистый код;</w:t>
      </w:r>
    </w:p>
    <w:p>
      <w:pPr>
        <w:numPr>
          <w:ilvl w:val="0"/>
          <w:numId w:val="1002"/>
        </w:numPr>
        <w:pStyle w:val="Compact"/>
      </w:pPr>
      <w:r>
        <w:t xml:space="preserve">jupyter notebook;</w:t>
      </w:r>
    </w:p>
    <w:p>
      <w:pPr>
        <w:numPr>
          <w:ilvl w:val="0"/>
          <w:numId w:val="1002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3"/>
        </w:numPr>
        <w:pStyle w:val="Compact"/>
      </w:pPr>
      <w:r>
        <w:t xml:space="preserve">Выполнить код из jupyter notebook.</w:t>
      </w:r>
    </w:p>
    <w:p>
      <w:pPr>
        <w:numPr>
          <w:ilvl w:val="0"/>
          <w:numId w:val="1003"/>
        </w:numPr>
        <w:pStyle w:val="Compact"/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3"/>
        </w:numPr>
        <w:pStyle w:val="Compact"/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3"/>
        </w:numPr>
        <w:pStyle w:val="Compact"/>
      </w:pPr>
      <w:r>
        <w:t xml:space="preserve">Сгенерировать из литературного кода с параметрами:</w:t>
      </w:r>
    </w:p>
    <w:p>
      <w:pPr>
        <w:numPr>
          <w:ilvl w:val="0"/>
          <w:numId w:val="1004"/>
        </w:numPr>
        <w:pStyle w:val="Compact"/>
      </w:pPr>
      <w:r>
        <w:t xml:space="preserve">чистый код;</w:t>
      </w:r>
    </w:p>
    <w:p>
      <w:pPr>
        <w:numPr>
          <w:ilvl w:val="0"/>
          <w:numId w:val="1004"/>
        </w:numPr>
        <w:pStyle w:val="Compact"/>
      </w:pPr>
      <w:r>
        <w:t xml:space="preserve">jupyter notebook;</w:t>
      </w:r>
    </w:p>
    <w:p>
      <w:pPr>
        <w:numPr>
          <w:ilvl w:val="0"/>
          <w:numId w:val="1004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5"/>
        </w:numPr>
        <w:pStyle w:val="Compact"/>
      </w:pPr>
      <w:r>
        <w:t xml:space="preserve">Выполнить код из jupyter notebook с параметрами.</w:t>
      </w:r>
    </w:p>
    <w:p>
      <w:pPr>
        <w:numPr>
          <w:ilvl w:val="0"/>
          <w:numId w:val="1005"/>
        </w:numPr>
        <w:pStyle w:val="Compact"/>
      </w:pPr>
      <w:r>
        <w:t xml:space="preserve">Интегрировать документацию с параметрами в формате Quarto в отчёт.</w:t>
      </w:r>
    </w:p>
    <w:p>
      <w:pPr>
        <w:numPr>
          <w:ilvl w:val="0"/>
          <w:numId w:val="1006"/>
        </w:numPr>
        <w:pStyle w:val="Compact"/>
      </w:pPr>
      <w:r>
        <w:t xml:space="preserve">Результирующие файлы не удаляйте, выложите на git.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эпидемиологическая-модели-si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Эпидемиологическая модели SIR</w:t>
      </w:r>
    </w:p>
    <w:p>
      <w:pPr>
        <w:numPr>
          <w:ilvl w:val="0"/>
          <w:numId w:val="1007"/>
        </w:numPr>
        <w:pStyle w:val="Compact"/>
      </w:pPr>
      <w:r>
        <w:t xml:space="preserve">Мы создадим файл src/sir_model.jl. и запустим его. (рис. 1).</w:t>
      </w:r>
    </w:p>
    <w:p>
      <w:pPr>
        <w:pStyle w:val="CaptionedFigure"/>
      </w:pPr>
      <w:r>
        <w:drawing>
          <wp:inline>
            <wp:extent cx="5334000" cy="2213902"/>
            <wp:effectExtent b="0" l="0" r="0" t="0"/>
            <wp:docPr descr="Рис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Рис</w:t>
      </w:r>
    </w:p>
    <w:p>
      <w:pPr>
        <w:numPr>
          <w:ilvl w:val="0"/>
          <w:numId w:val="1008"/>
        </w:numPr>
        <w:pStyle w:val="Compact"/>
      </w:pPr>
      <w:r>
        <w:t xml:space="preserve">Вывод в консоль. (рис. 2).</w:t>
      </w:r>
    </w:p>
    <w:p>
      <w:pPr>
        <w:pStyle w:val="CaptionedFigure"/>
      </w:pPr>
      <w:r>
        <w:drawing>
          <wp:inline>
            <wp:extent cx="4215865" cy="567890"/>
            <wp:effectExtent b="0" l="0" r="0" t="0"/>
            <wp:docPr descr="Ри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Рис</w:t>
      </w:r>
    </w:p>
    <w:bookmarkEnd w:id="28"/>
    <w:bookmarkStart w:id="38" w:name="базовый-эксперимен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Базовый эксперимент</w:t>
      </w:r>
    </w:p>
    <w:p>
      <w:pPr>
        <w:numPr>
          <w:ilvl w:val="0"/>
          <w:numId w:val="1009"/>
        </w:numPr>
        <w:pStyle w:val="Compact"/>
      </w:pPr>
      <w:r>
        <w:t xml:space="preserve">Запускаем один эксперимент с фиксированными параметрами (по умолчанию) и</w:t>
      </w:r>
      <w:r>
        <w:t xml:space="preserve"> </w:t>
      </w:r>
      <w:r>
        <w:t xml:space="preserve">сохраняем динамику численности агентов. Это служит для проверки работоспособности модели и получения базового понимания эпидемического процесса. (рис. 3).</w:t>
      </w:r>
    </w:p>
    <w:p>
      <w:pPr>
        <w:pStyle w:val="CaptionedFigure"/>
      </w:pPr>
      <w:r>
        <w:drawing>
          <wp:inline>
            <wp:extent cx="5334000" cy="2353317"/>
            <wp:effectExtent b="0" l="0" r="0" t="0"/>
            <wp:docPr descr="Рис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Рис</w:t>
      </w:r>
    </w:p>
    <w:p>
      <w:pPr>
        <w:numPr>
          <w:ilvl w:val="0"/>
          <w:numId w:val="1010"/>
        </w:numPr>
        <w:pStyle w:val="Compact"/>
      </w:pPr>
      <w:r>
        <w:t xml:space="preserve">Мы создадим файл src/sir_run_basic.jl и запустим его. (рис. 4).</w:t>
      </w:r>
    </w:p>
    <w:p>
      <w:pPr>
        <w:pStyle w:val="CaptionedFigure"/>
      </w:pPr>
      <w:r>
        <w:drawing>
          <wp:inline>
            <wp:extent cx="5334000" cy="6006000"/>
            <wp:effectExtent b="0" l="0" r="0" t="0"/>
            <wp:docPr descr="Рис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Рис</w:t>
      </w:r>
    </w:p>
    <w:p>
      <w:pPr>
        <w:numPr>
          <w:ilvl w:val="0"/>
          <w:numId w:val="1011"/>
        </w:numPr>
        <w:pStyle w:val="Compact"/>
      </w:pPr>
      <w:r>
        <w:t xml:space="preserve">График: plots/sir_basic_dynamics.png — четыре линии: S(t), I(t), R(t) и общая численность. Позволяет визуально оценить пик эпидемии,</w:t>
      </w:r>
      <w:r>
        <w:t xml:space="preserve"> </w:t>
      </w:r>
      <w:r>
        <w:t xml:space="preserve">скорость распространения и влияние смертности. (рис. 5).</w:t>
      </w:r>
    </w:p>
    <w:p>
      <w:pPr>
        <w:pStyle w:val="CaptionedFigure"/>
      </w:pPr>
      <w:r>
        <w:drawing>
          <wp:inline>
            <wp:extent cx="5334000" cy="3550083"/>
            <wp:effectExtent b="0" l="0" r="0" t="0"/>
            <wp:docPr descr="Рис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Рис</w:t>
      </w:r>
    </w:p>
    <w:bookmarkEnd w:id="38"/>
    <w:bookmarkStart w:id="48" w:name="сканирование-коэффициента-заразност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Сканирование коэффициента заразности</w:t>
      </w:r>
    </w:p>
    <w:p>
      <w:pPr>
        <w:numPr>
          <w:ilvl w:val="0"/>
          <w:numId w:val="1012"/>
        </w:numPr>
        <w:pStyle w:val="Compact"/>
      </w:pPr>
      <w:r>
        <w:t xml:space="preserve">Исследуем,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стохастичности. (рис. 6).</w:t>
      </w:r>
    </w:p>
    <w:p>
      <w:pPr>
        <w:pStyle w:val="CaptionedFigure"/>
      </w:pPr>
      <w:r>
        <w:drawing>
          <wp:inline>
            <wp:extent cx="5334000" cy="2416446"/>
            <wp:effectExtent b="0" l="0" r="0" t="0"/>
            <wp:docPr descr="Рис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Рис</w:t>
      </w:r>
    </w:p>
    <w:p>
      <w:pPr>
        <w:numPr>
          <w:ilvl w:val="0"/>
          <w:numId w:val="1013"/>
        </w:numPr>
        <w:pStyle w:val="Compact"/>
      </w:pPr>
      <w:r>
        <w:t xml:space="preserve">Создание файла scripts/sir_scan_beta.jl и запустим его. (рис. 7).</w:t>
      </w:r>
    </w:p>
    <w:p>
      <w:pPr>
        <w:pStyle w:val="CaptionedFigure"/>
      </w:pPr>
      <w:r>
        <w:drawing>
          <wp:inline>
            <wp:extent cx="5334000" cy="3414888"/>
            <wp:effectExtent b="0" l="0" r="0" t="0"/>
            <wp:docPr descr="Рис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Рис</w:t>
      </w:r>
    </w:p>
    <w:p>
      <w:pPr>
        <w:numPr>
          <w:ilvl w:val="0"/>
          <w:numId w:val="1014"/>
        </w:numPr>
        <w:pStyle w:val="Compact"/>
      </w:pPr>
      <w:r>
        <w:t xml:space="preserve">График позволяет найти пороговое значение 𝛽, при котором возникает эпидемия,</w:t>
      </w:r>
      <w:r>
        <w:t xml:space="preserve"> </w:t>
      </w:r>
      <w:r>
        <w:t xml:space="preserve">и оценить, как увеличивается нагрузка на систему с ростом заразности (рис. 8).</w:t>
      </w:r>
    </w:p>
    <w:p>
      <w:pPr>
        <w:pStyle w:val="CaptionedFigure"/>
      </w:pPr>
      <w:r>
        <w:drawing>
          <wp:inline>
            <wp:extent cx="5334000" cy="3585732"/>
            <wp:effectExtent b="0" l="0" r="0" t="0"/>
            <wp:docPr descr="Рис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Рис</w:t>
      </w:r>
    </w:p>
    <w:bookmarkEnd w:id="48"/>
    <w:bookmarkStart w:id="55" w:name="исследование-эффекта-миграци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Исследование эффекта миграции</w:t>
      </w:r>
    </w:p>
    <w:p>
      <w:pPr>
        <w:numPr>
          <w:ilvl w:val="0"/>
          <w:numId w:val="1015"/>
        </w:numPr>
        <w:pStyle w:val="Compact"/>
      </w:pPr>
      <w:r>
        <w:t xml:space="preserve">Исследует, как интенсивность перемещения людей между городами влияет на скорость распространения эпидемии (время достижения пика) и масштаб пика. Инфекция начинается только в одном городе, остальные изначально здоровы. (рис. 9).</w:t>
      </w:r>
    </w:p>
    <w:p>
      <w:pPr>
        <w:pStyle w:val="CaptionedFigure"/>
      </w:pPr>
      <w:r>
        <w:drawing>
          <wp:inline>
            <wp:extent cx="5334000" cy="2484937"/>
            <wp:effectExtent b="0" l="0" r="0" t="0"/>
            <wp:docPr descr="Рис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Рис</w:t>
      </w:r>
    </w:p>
    <w:p>
      <w:pPr>
        <w:numPr>
          <w:ilvl w:val="0"/>
          <w:numId w:val="1016"/>
        </w:numPr>
        <w:pStyle w:val="Compact"/>
      </w:pPr>
      <w:r>
        <w:t xml:space="preserve">График демонстрирует, как ускорение обмена людьми между городами приводит к более раннему и более высокому пику эпидемии (рис. 10).</w:t>
      </w:r>
    </w:p>
    <w:p>
      <w:pPr>
        <w:pStyle w:val="CaptionedFigure"/>
      </w:pPr>
      <w:r>
        <w:drawing>
          <wp:inline>
            <wp:extent cx="5334000" cy="3544186"/>
            <wp:effectExtent b="0" l="0" r="0" t="0"/>
            <wp:docPr descr="Рис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Рис</w:t>
      </w:r>
    </w:p>
    <w:bookmarkEnd w:id="55"/>
    <w:bookmarkStart w:id="62" w:name="X9ab5d65afec6d422683e7c6e07ebb0151d54bf4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Многокритериальная оптимизация параметров</w:t>
      </w:r>
    </w:p>
    <w:p>
      <w:pPr>
        <w:numPr>
          <w:ilvl w:val="0"/>
          <w:numId w:val="1017"/>
        </w:numPr>
        <w:pStyle w:val="Compact"/>
      </w:pPr>
      <w:r>
        <w:t xml:space="preserve">Ищим оптимальные комбинации параметров, минимизирующие одновременно</w:t>
      </w:r>
      <w:r>
        <w:t xml:space="preserve"> </w:t>
      </w:r>
      <w:r>
        <w:t xml:space="preserve">два критерия: пиковую заболеваемость и долю умерших. Используем эволюционный алгоритм (Borg MOEA) из пакета BlackBoxOptim. (рис. 11).</w:t>
      </w:r>
    </w:p>
    <w:p>
      <w:pPr>
        <w:pStyle w:val="CaptionedFigure"/>
      </w:pPr>
      <w:r>
        <w:drawing>
          <wp:inline>
            <wp:extent cx="5334000" cy="2482158"/>
            <wp:effectExtent b="0" l="0" r="0" t="0"/>
            <wp:docPr descr="Рис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Рис</w:t>
      </w:r>
    </w:p>
    <w:p>
      <w:pPr>
        <w:numPr>
          <w:ilvl w:val="0"/>
          <w:numId w:val="1018"/>
        </w:numPr>
        <w:pStyle w:val="Compact"/>
      </w:pPr>
      <w:r>
        <w:t xml:space="preserve">Создание файла scripts/sir_optimize_parameters.jl и запустим его. (рис. 12).</w:t>
      </w:r>
    </w:p>
    <w:p>
      <w:pPr>
        <w:pStyle w:val="CaptionedFigure"/>
      </w:pPr>
      <w:r>
        <w:drawing>
          <wp:inline>
            <wp:extent cx="5024387" cy="3869355"/>
            <wp:effectExtent b="0" l="0" r="0" t="0"/>
            <wp:docPr descr="Рис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386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Рис</w:t>
      </w:r>
    </w:p>
    <w:p>
      <w:pPr>
        <w:numPr>
          <w:ilvl w:val="0"/>
          <w:numId w:val="1019"/>
        </w:numPr>
        <w:pStyle w:val="Compact"/>
      </w:pPr>
      <w:r>
        <w:t xml:space="preserve">Вывод в консоль: оптимальные параметры и соответствующие им значения</w:t>
      </w:r>
      <w:r>
        <w:t xml:space="preserve"> </w:t>
      </w:r>
      <w:r>
        <w:t xml:space="preserve">критериев.</w:t>
      </w:r>
    </w:p>
    <w:bookmarkEnd w:id="62"/>
    <w:bookmarkStart w:id="69" w:name="сводная-визуализация-результатов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Сводная визуализация результатов</w:t>
      </w:r>
    </w:p>
    <w:p>
      <w:pPr>
        <w:numPr>
          <w:ilvl w:val="0"/>
          <w:numId w:val="1020"/>
        </w:numPr>
        <w:pStyle w:val="Compact"/>
      </w:pPr>
      <w:r>
        <w:t xml:space="preserve">Этот скрипт загружает результаты параметрического сканирования (файл data/beta_scan_all.csv, созданный scan_beta.jl) и строит единый составной график, объединяющий три панели:</w:t>
      </w:r>
    </w:p>
    <w:p>
      <w:pPr>
        <w:pStyle w:val="FirstParagraph"/>
      </w:pPr>
      <w:r>
        <w:t xml:space="preserve">— пик эпидемии и конечная доля инфицированных;</w:t>
      </w:r>
      <w:r>
        <w:t xml:space="preserve"> </w:t>
      </w:r>
      <w:r>
        <w:t xml:space="preserve">— число умерших;</w:t>
      </w:r>
      <w:r>
        <w:t xml:space="preserve"> </w:t>
      </w:r>
      <w:r>
        <w:t xml:space="preserve">— доля выздоровевших.</w:t>
      </w:r>
    </w:p>
    <w:p>
      <w:pPr>
        <w:pStyle w:val="BodyText"/>
      </w:pPr>
      <w:r>
        <w:t xml:space="preserve">График сохраняется как plots/comprehensive_analysis.png. Скрипт предназначен для итогового отчёта и не требует повторного запуска симуляций. (рис. 13).</w:t>
      </w:r>
    </w:p>
    <w:p>
      <w:pPr>
        <w:pStyle w:val="CaptionedFigure"/>
      </w:pPr>
      <w:r>
        <w:drawing>
          <wp:inline>
            <wp:extent cx="5334000" cy="1396801"/>
            <wp:effectExtent b="0" l="0" r="0" t="0"/>
            <wp:docPr descr="Рис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Рис</w:t>
      </w:r>
    </w:p>
    <w:p>
      <w:pPr>
        <w:numPr>
          <w:ilvl w:val="0"/>
          <w:numId w:val="1021"/>
        </w:numPr>
        <w:pStyle w:val="Compact"/>
      </w:pPr>
      <w:r>
        <w:t xml:space="preserve">График: plots/comprehensive_analysis.png (рис. 4.4). Три панели, позволяющие одновременно оценить:</w:t>
      </w:r>
    </w:p>
    <w:p>
      <w:pPr>
        <w:pStyle w:val="FirstParagraph"/>
      </w:pPr>
      <w:r>
        <w:t xml:space="preserve">— порог возникновения эпидемии (рост пика);</w:t>
      </w:r>
      <w:r>
        <w:t xml:space="preserve"> </w:t>
      </w:r>
      <w:r>
        <w:t xml:space="preserve">— нелинейное увеличение смертности;</w:t>
      </w:r>
      <w:r>
        <w:t xml:space="preserve"> </w:t>
      </w:r>
      <w:r>
        <w:t xml:space="preserve">— насыщение доли переболевших.</w:t>
      </w:r>
    </w:p>
    <w:p>
      <w:pPr>
        <w:numPr>
          <w:ilvl w:val="0"/>
          <w:numId w:val="1022"/>
        </w:numPr>
        <w:pStyle w:val="Compact"/>
      </w:pPr>
      <w:r>
        <w:t xml:space="preserve">В консоль может выводиться дополнительная статистика (например, значения β, при которых пик превышает 5%). (рис. 14).</w:t>
      </w:r>
    </w:p>
    <w:p>
      <w:pPr>
        <w:pStyle w:val="CaptionedFigure"/>
      </w:pPr>
      <w:r>
        <w:drawing>
          <wp:inline>
            <wp:extent cx="5334000" cy="5948947"/>
            <wp:effectExtent b="0" l="0" r="0" t="0"/>
            <wp:docPr descr="Рис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Рис</w:t>
      </w:r>
    </w:p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23"/>
        </w:numPr>
        <w:pStyle w:val="Compact"/>
      </w:pPr>
      <w:r>
        <w:t xml:space="preserve">Я выполнила лабораторную работу.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Разанацуа Сара Естэлл</dc:creator>
  <dc:language>ru-RU</dc:language>
  <cp:keywords/>
  <dcterms:created xsi:type="dcterms:W3CDTF">2026-04-03T13:05:32Z</dcterms:created>
  <dcterms:modified xsi:type="dcterms:W3CDTF">2026-04-03T13:05:32Z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Реализация основных моделей в агентном подходе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