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6.png" ContentType="image/png"/>
  <Override PartName="/word/media/rId79.png" ContentType="image/png"/>
  <Override PartName="/word/media/rId82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29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Модели</w:t>
      </w:r>
      <w:r>
        <w:t xml:space="preserve"> </w:t>
      </w:r>
      <w:r>
        <w:t xml:space="preserve">SIR</w:t>
      </w:r>
      <w:r>
        <w:t xml:space="preserve"> </w:t>
      </w:r>
      <w:r>
        <w:t xml:space="preserve">и</w:t>
      </w:r>
      <w:r>
        <w:t xml:space="preserve"> </w:t>
      </w:r>
      <w:r>
        <w:t xml:space="preserve">Лотки-Вольтерры.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numPr>
          <w:ilvl w:val="0"/>
          <w:numId w:val="1001"/>
        </w:numPr>
        <w:pStyle w:val="Compact"/>
      </w:pPr>
      <w:r>
        <w:t xml:space="preserve">Модель SIR есть классическая и фундаментальная математическая модель эпидемиологии, описывающая распространение инфекционного заболевания в закрытой популяции [2</w:t>
      </w:r>
    </w:p>
    <w:bookmarkEnd w:id="20"/>
    <w:bookmarkStart w:id="22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2"/>
        </w:numPr>
        <w:pStyle w:val="Compact"/>
      </w:pPr>
      <w:r>
        <w:t xml:space="preserve">Создать рабочий каталог проекта.</w:t>
      </w:r>
    </w:p>
    <w:p>
      <w:pPr>
        <w:numPr>
          <w:ilvl w:val="0"/>
          <w:numId w:val="1002"/>
        </w:numPr>
        <w:pStyle w:val="Compact"/>
      </w:pPr>
      <w:r>
        <w:t xml:space="preserve">Установить необходимые пакеты Julia.</w:t>
      </w:r>
    </w:p>
    <w:p>
      <w:pPr>
        <w:numPr>
          <w:ilvl w:val="0"/>
          <w:numId w:val="1002"/>
        </w:numPr>
        <w:pStyle w:val="Compact"/>
      </w:pPr>
      <w:r>
        <w:t xml:space="preserve">Выполнить моделирование системы SIR и проанализировать влияние параметров.</w:t>
      </w:r>
    </w:p>
    <w:p>
      <w:pPr>
        <w:numPr>
          <w:ilvl w:val="0"/>
          <w:numId w:val="1002"/>
        </w:numPr>
        <w:pStyle w:val="Compact"/>
      </w:pPr>
      <w:r>
        <w:t xml:space="preserve">Выполнить моделирование системы Лотки–Вольтерры и проанализировать влияние параметров.</w:t>
      </w:r>
      <w:r>
        <w:t xml:space="preserve"> </w:t>
      </w:r>
      <w:r>
        <w:t xml:space="preserve">## Модель SIR</w:t>
      </w:r>
    </w:p>
    <w:p>
      <w:pPr>
        <w:pStyle w:val="FirstParagraph"/>
      </w:pPr>
      <w:r>
        <w:t xml:space="preserve">Модель SIR model описывает распространение инфекционного заболевания в замкнутой популяции.</w:t>
      </w:r>
    </w:p>
    <w:p>
      <w:pPr>
        <w:pStyle w:val="BodyText"/>
      </w:pPr>
      <w:r>
        <w:t xml:space="preserve">Популяция делится на три группы:</w:t>
      </w:r>
    </w:p>
    <w:p>
      <w:pPr>
        <w:numPr>
          <w:ilvl w:val="0"/>
          <w:numId w:val="1003"/>
        </w:numPr>
        <w:pStyle w:val="Compact"/>
      </w:pPr>
      <m:oMath>
        <m:r>
          <m:t>S</m:t>
        </m:r>
      </m:oMath>
      <w:r>
        <w:t xml:space="preserve"> </w:t>
      </w:r>
      <w:r>
        <w:t xml:space="preserve">— восприимчивые (Susceptible),</w:t>
      </w:r>
    </w:p>
    <w:p>
      <w:pPr>
        <w:numPr>
          <w:ilvl w:val="0"/>
          <w:numId w:val="1003"/>
        </w:numPr>
        <w:pStyle w:val="Compact"/>
      </w:pPr>
      <m:oMath>
        <m:r>
          <m:t>I</m:t>
        </m:r>
      </m:oMath>
      <w:r>
        <w:t xml:space="preserve"> </w:t>
      </w:r>
      <w:r>
        <w:t xml:space="preserve">— инфицированные (Infectious),</w:t>
      </w:r>
    </w:p>
    <w:p>
      <w:pPr>
        <w:numPr>
          <w:ilvl w:val="0"/>
          <w:numId w:val="1003"/>
        </w:numPr>
        <w:pStyle w:val="Compact"/>
      </w:pPr>
      <m:oMath>
        <m:r>
          <m:t>R</m:t>
        </m:r>
      </m:oMath>
      <w:r>
        <w:t xml:space="preserve"> </w:t>
      </w:r>
      <w:r>
        <w:t xml:space="preserve">— выздоровевшие (Recovered).</w:t>
      </w:r>
    </w:p>
    <w:p>
      <w:pPr>
        <w:pStyle w:val="FirstParagraph"/>
      </w:pPr>
      <w:r>
        <w:t xml:space="preserve">Система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Ключевой параметр модели — базовое репродуктивное число: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γ</m:t>
              </m:r>
            </m:den>
          </m:f>
        </m:oMath>
      </m:oMathPara>
    </w:p>
    <w:p>
      <w:pPr>
        <w:numPr>
          <w:ilvl w:val="0"/>
          <w:numId w:val="1004"/>
        </w:numPr>
        <w:pStyle w:val="Compact"/>
      </w:pPr>
      <w:r>
        <w:t xml:space="preserve">Если (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&gt; 1 ) — эпидемия развивается.</w:t>
      </w:r>
    </w:p>
    <w:p>
      <w:pPr>
        <w:numPr>
          <w:ilvl w:val="0"/>
          <w:numId w:val="1004"/>
        </w:numPr>
        <w:pStyle w:val="Compact"/>
      </w:pPr>
      <w:r>
        <w:t xml:space="preserve">Если (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&lt; 1 ) — эпидемия затухает.</w:t>
      </w:r>
    </w:p>
    <w:p>
      <w:pPr>
        <w:pStyle w:val="FirstParagraph"/>
      </w:pPr>
      <w:r>
        <w:t xml:space="preserve">Модель позволяет оценить:</w:t>
      </w:r>
    </w:p>
    <w:p>
      <w:pPr>
        <w:numPr>
          <w:ilvl w:val="0"/>
          <w:numId w:val="1005"/>
        </w:numPr>
        <w:pStyle w:val="Compact"/>
      </w:pPr>
      <w:r>
        <w:t xml:space="preserve">скорость распространения инфекции,</w:t>
      </w:r>
    </w:p>
    <w:p>
      <w:pPr>
        <w:numPr>
          <w:ilvl w:val="0"/>
          <w:numId w:val="1005"/>
        </w:numPr>
        <w:pStyle w:val="Compact"/>
      </w:pPr>
      <w:r>
        <w:t xml:space="preserve">пик заболеваемости,</w:t>
      </w:r>
    </w:p>
    <w:p>
      <w:pPr>
        <w:numPr>
          <w:ilvl w:val="0"/>
          <w:numId w:val="1005"/>
        </w:numPr>
        <w:pStyle w:val="Compact"/>
      </w:pPr>
      <w:r>
        <w:t xml:space="preserve">порог коллективного иммунитета.</w:t>
      </w:r>
    </w:p>
    <w:p>
      <w:r>
        <w:pict>
          <v:rect style="width:0;height:1.5pt" o:hralign="center" o:hrstd="t" o:hr="t"/>
        </w:pict>
      </w:r>
    </w:p>
    <w:bookmarkStart w:id="21" w:name="модель-лоткивольтерр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Модель Лотки–Вольтерры</w:t>
      </w:r>
    </w:p>
    <w:p>
      <w:pPr>
        <w:pStyle w:val="FirstParagraph"/>
      </w:pPr>
      <w:r>
        <w:t xml:space="preserve">Модель Lotka–Volterra equations описывает взаимодействие двух популяций: жертв и хищников.</w:t>
      </w:r>
    </w:p>
    <w:p>
      <w:pPr>
        <w:pStyle w:val="BodyText"/>
      </w:pPr>
      <w:r>
        <w:t xml:space="preserve">Система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</m:oMath>
      </m:oMathPara>
    </w:p>
    <w:p>
      <w:pPr>
        <w:pStyle w:val="FirstParagraph"/>
      </w:pPr>
      <w:r>
        <w:t xml:space="preserve">где:</w:t>
      </w:r>
    </w:p>
    <w:p>
      <w:pPr>
        <w:numPr>
          <w:ilvl w:val="0"/>
          <w:numId w:val="1006"/>
        </w:numPr>
        <w:pStyle w:val="Compact"/>
      </w:pPr>
      <m:oMath>
        <m:r>
          <m:t>x</m:t>
        </m:r>
      </m:oMath>
      <w:r>
        <w:t xml:space="preserve"> </w:t>
      </w:r>
      <w:r>
        <w:t xml:space="preserve">— численность жертв,</w:t>
      </w:r>
    </w:p>
    <w:p>
      <w:pPr>
        <w:numPr>
          <w:ilvl w:val="0"/>
          <w:numId w:val="1006"/>
        </w:numPr>
        <w:pStyle w:val="Compact"/>
      </w:pPr>
      <m:oMath>
        <m:r>
          <m:t>y</m:t>
        </m:r>
      </m:oMath>
      <w:r>
        <w:t xml:space="preserve"> </w:t>
      </w:r>
      <w:r>
        <w:t xml:space="preserve">— численность хищников,</w:t>
      </w:r>
    </w:p>
    <w:p>
      <w:pPr>
        <w:numPr>
          <w:ilvl w:val="0"/>
          <w:numId w:val="1006"/>
        </w:numPr>
        <w:pStyle w:val="Compact"/>
      </w:pPr>
      <m:oMath>
        <m:r>
          <m:t>α</m:t>
        </m:r>
      </m:oMath>
      <w:r>
        <w:t xml:space="preserve"> </w:t>
      </w:r>
      <w:r>
        <w:t xml:space="preserve">— естественный рост жертв,</w:t>
      </w:r>
    </w:p>
    <w:p>
      <w:pPr>
        <w:numPr>
          <w:ilvl w:val="0"/>
          <w:numId w:val="1006"/>
        </w:numPr>
        <w:pStyle w:val="Compact"/>
      </w:pPr>
      <m:oMath>
        <m:r>
          <m:t>β</m:t>
        </m:r>
      </m:oMath>
      <w:r>
        <w:t xml:space="preserve"> </w:t>
      </w:r>
      <w:r>
        <w:t xml:space="preserve">— интенсивность поедания,</w:t>
      </w:r>
    </w:p>
    <w:p>
      <w:pPr>
        <w:numPr>
          <w:ilvl w:val="0"/>
          <w:numId w:val="1006"/>
        </w:numPr>
        <w:pStyle w:val="Compact"/>
      </w:pPr>
      <m:oMath>
        <m:r>
          <m:t>δ</m:t>
        </m:r>
      </m:oMath>
      <w:r>
        <w:t xml:space="preserve"> </w:t>
      </w:r>
      <w:r>
        <w:t xml:space="preserve">— эффективность преобразования пищи,</w:t>
      </w:r>
    </w:p>
    <w:p>
      <w:pPr>
        <w:numPr>
          <w:ilvl w:val="0"/>
          <w:numId w:val="1006"/>
        </w:numPr>
        <w:pStyle w:val="Compact"/>
      </w:pPr>
      <m:oMath>
        <m:r>
          <m:t>γ</m:t>
        </m:r>
      </m:oMath>
      <w:r>
        <w:t xml:space="preserve"> </w:t>
      </w:r>
      <w:r>
        <w:t xml:space="preserve">— смертность хищников.</w:t>
      </w:r>
    </w:p>
    <w:bookmarkEnd w:id="21"/>
    <w:bookmarkEnd w:id="22"/>
    <w:bookmarkStart w:id="8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Создание рабочий каталог для кода. Устанавливаю необходимые пакеты с помощью: (рис. 1).</w:t>
      </w:r>
    </w:p>
    <w:p>
      <w:pPr>
        <w:pStyle w:val="CaptionedFigure"/>
      </w:pPr>
      <w:r>
        <w:drawing>
          <wp:inline>
            <wp:extent cx="5334000" cy="2960527"/>
            <wp:effectExtent b="0" l="0" r="0" t="0"/>
            <wp:docPr descr="Рисунок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0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Рисунок 1</w:t>
      </w:r>
    </w:p>
    <w:p>
      <w:pPr>
        <w:pStyle w:val="BodyText"/>
      </w:pPr>
      <w:r>
        <w:t xml:space="preserve">Далее копирую предложенный код в файл sir_ode.jl и выполняю его(рис.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).</w:t>
      </w:r>
    </w:p>
    <w:p>
      <w:pPr>
        <w:pStyle w:val="CaptionedFigure"/>
      </w:pPr>
      <w:r>
        <w:drawing>
          <wp:inline>
            <wp:extent cx="5334000" cy="2823225"/>
            <wp:effectExtent b="0" l="0" r="0" t="0"/>
            <wp:docPr descr="Рисунок 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Рисунок 2</w:t>
      </w:r>
    </w:p>
    <w:p>
      <w:pPr>
        <w:pStyle w:val="BodyText"/>
      </w:pPr>
      <w:r>
        <w:t xml:space="preserve">Далее копирую предложенный код в файл lv_ode.jl и выполняю его (рис. 3).</w:t>
      </w:r>
    </w:p>
    <w:p>
      <w:pPr>
        <w:pStyle w:val="CaptionedFigure"/>
      </w:pPr>
      <w:r>
        <w:drawing>
          <wp:inline>
            <wp:extent cx="5334000" cy="4826000"/>
            <wp:effectExtent b="0" l="0" r="0" t="0"/>
            <wp:docPr descr="Рисунок 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Рисунок 3</w:t>
      </w:r>
    </w:p>
    <w:p>
      <w:pPr>
        <w:pStyle w:val="BodyText"/>
      </w:pPr>
      <w:r>
        <w:t xml:space="preserve">Подключение пакетов (рис. 4).</w:t>
      </w:r>
    </w:p>
    <w:p>
      <w:pPr>
        <w:pStyle w:val="CaptionedFigure"/>
      </w:pPr>
      <w:r>
        <w:drawing>
          <wp:inline>
            <wp:extent cx="5334000" cy="4826000"/>
            <wp:effectExtent b="0" l="0" r="0" t="0"/>
            <wp:docPr descr="Рисунок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Рисунок</w:t>
      </w:r>
    </w:p>
    <w:p>
      <w:pPr>
        <w:pStyle w:val="BodyText"/>
      </w:pPr>
      <w:r>
        <w:t xml:space="preserve">Определение функции модели (рис. 5).</w:t>
      </w:r>
    </w:p>
    <w:p>
      <w:pPr>
        <w:pStyle w:val="CaptionedFigure"/>
      </w:pPr>
      <w:r>
        <w:drawing>
          <wp:inline>
            <wp:extent cx="4812631" cy="2550694"/>
            <wp:effectExtent b="0" l="0" r="0" t="0"/>
            <wp:docPr descr="Рисунок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31" cy="255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Рисунок</w:t>
      </w:r>
    </w:p>
    <w:p>
      <w:pPr>
        <w:pStyle w:val="BodyText"/>
      </w:pPr>
      <w:r>
        <w:t xml:space="preserve">Началные условия (рис. 6).</w:t>
      </w:r>
    </w:p>
    <w:p>
      <w:pPr>
        <w:pStyle w:val="CaptionedFigure"/>
      </w:pPr>
      <w:r>
        <w:drawing>
          <wp:inline>
            <wp:extent cx="3811604" cy="1241658"/>
            <wp:effectExtent b="0" l="0" r="0" t="0"/>
            <wp:docPr descr="Рисунок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04" cy="1241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Рисунок</w:t>
      </w:r>
    </w:p>
    <w:p>
      <w:pPr>
        <w:pStyle w:val="BodyText"/>
      </w:pPr>
      <w:r>
        <w:t xml:space="preserve">Вспогательная функция для запуска модели (рис. 7).</w:t>
      </w:r>
    </w:p>
    <w:p>
      <w:pPr>
        <w:pStyle w:val="CaptionedFigure"/>
      </w:pPr>
      <w:r>
        <w:drawing>
          <wp:inline>
            <wp:extent cx="5334000" cy="1919708"/>
            <wp:effectExtent b="0" l="0" r="0" t="0"/>
            <wp:docPr descr="Рисунок 3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Рисунок 3</w:t>
      </w:r>
    </w:p>
    <w:bookmarkStart w:id="85" w:name="основной-график-динамика-всех-трех-групп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ОСНОВНОЙ ГРАФИК: динамика всех трех групп</w:t>
      </w:r>
    </w:p>
    <w:p>
      <w:pPr>
        <w:numPr>
          <w:ilvl w:val="0"/>
          <w:numId w:val="1007"/>
        </w:numPr>
        <w:pStyle w:val="Compact"/>
      </w:pPr>
      <w:r>
        <w:t xml:space="preserve">График 1 (рис. 8).</w:t>
      </w:r>
    </w:p>
    <w:p>
      <w:pPr>
        <w:pStyle w:val="CaptionedFigure"/>
      </w:pPr>
      <w:r>
        <w:drawing>
          <wp:inline>
            <wp:extent cx="5334000" cy="2195220"/>
            <wp:effectExtent b="0" l="0" r="0" t="0"/>
            <wp:docPr descr="Рисунок 3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Рисунок 3</w:t>
      </w:r>
    </w:p>
    <w:p>
      <w:pPr>
        <w:pStyle w:val="BodyText"/>
      </w:pPr>
      <w:r>
        <w:t xml:space="preserve">График (рис. 9).</w:t>
      </w:r>
    </w:p>
    <w:p>
      <w:pPr>
        <w:pStyle w:val="CaptionedFigure"/>
      </w:pPr>
      <w:r>
        <w:drawing>
          <wp:inline>
            <wp:extent cx="5334000" cy="3346173"/>
            <wp:effectExtent b="0" l="0" r="0" t="0"/>
            <wp:docPr descr="Рисунок 3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6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Рисунок 3</w:t>
      </w:r>
    </w:p>
    <w:p>
      <w:pPr>
        <w:numPr>
          <w:ilvl w:val="0"/>
          <w:numId w:val="1008"/>
        </w:numPr>
        <w:pStyle w:val="Compact"/>
      </w:pPr>
      <w:r>
        <w:t xml:space="preserve">График 2 (рис. 10).</w:t>
      </w:r>
    </w:p>
    <w:p>
      <w:pPr>
        <w:pStyle w:val="CaptionedFigure"/>
      </w:pPr>
      <w:r>
        <w:drawing>
          <wp:inline>
            <wp:extent cx="5334000" cy="2744118"/>
            <wp:effectExtent b="0" l="0" r="0" t="0"/>
            <wp:docPr descr="Рис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Рис</w:t>
      </w:r>
    </w:p>
    <w:p>
      <w:pPr>
        <w:pStyle w:val="BodyText"/>
      </w:pPr>
      <w:r>
        <w:t xml:space="preserve">График (рис. 11).</w:t>
      </w:r>
    </w:p>
    <w:p>
      <w:pPr>
        <w:pStyle w:val="CaptionedFigure"/>
      </w:pPr>
      <w:r>
        <w:drawing>
          <wp:inline>
            <wp:extent cx="5334000" cy="2693670"/>
            <wp:effectExtent b="0" l="0" r="0" t="0"/>
            <wp:docPr descr="Рис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3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Рис</w:t>
      </w:r>
    </w:p>
    <w:p>
      <w:pPr>
        <w:numPr>
          <w:ilvl w:val="0"/>
          <w:numId w:val="1009"/>
        </w:numPr>
        <w:pStyle w:val="Compact"/>
      </w:pPr>
      <w:r>
        <w:t xml:space="preserve">График 3 (рис. 12).</w:t>
      </w:r>
    </w:p>
    <w:p>
      <w:pPr>
        <w:pStyle w:val="CaptionedFigure"/>
      </w:pPr>
      <w:r>
        <w:drawing>
          <wp:inline>
            <wp:extent cx="5334000" cy="1899492"/>
            <wp:effectExtent b="0" l="0" r="0" t="0"/>
            <wp:docPr descr="Рис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Рис</w:t>
      </w:r>
    </w:p>
    <w:p>
      <w:pPr>
        <w:pStyle w:val="BodyText"/>
      </w:pPr>
      <w:r>
        <w:t xml:space="preserve">График (рис. 13).</w:t>
      </w:r>
    </w:p>
    <w:p>
      <w:pPr>
        <w:pStyle w:val="CaptionedFigure"/>
      </w:pPr>
      <w:r>
        <w:drawing>
          <wp:inline>
            <wp:extent cx="5334000" cy="2735889"/>
            <wp:effectExtent b="0" l="0" r="0" t="0"/>
            <wp:docPr descr="Рис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5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Рис</w:t>
      </w:r>
    </w:p>
    <w:p>
      <w:pPr>
        <w:numPr>
          <w:ilvl w:val="0"/>
          <w:numId w:val="1010"/>
        </w:numPr>
        <w:pStyle w:val="Compact"/>
      </w:pPr>
      <w:r>
        <w:t xml:space="preserve">График 4 (рис. 14).</w:t>
      </w:r>
    </w:p>
    <w:p>
      <w:pPr>
        <w:pStyle w:val="CaptionedFigure"/>
      </w:pPr>
      <w:r>
        <w:drawing>
          <wp:inline>
            <wp:extent cx="5334000" cy="2513796"/>
            <wp:effectExtent b="0" l="0" r="0" t="0"/>
            <wp:docPr descr="Рис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Рис</w:t>
      </w:r>
    </w:p>
    <w:p>
      <w:pPr>
        <w:pStyle w:val="BodyText"/>
      </w:pPr>
      <w:r>
        <w:t xml:space="preserve">График (рис. 15).</w:t>
      </w:r>
    </w:p>
    <w:p>
      <w:pPr>
        <w:pStyle w:val="CaptionedFigure"/>
      </w:pPr>
      <w:r>
        <w:drawing>
          <wp:inline>
            <wp:extent cx="5334000" cy="3376873"/>
            <wp:effectExtent b="0" l="0" r="0" t="0"/>
            <wp:docPr descr="Рис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Рис</w:t>
      </w:r>
    </w:p>
    <w:p>
      <w:pPr>
        <w:numPr>
          <w:ilvl w:val="0"/>
          <w:numId w:val="1011"/>
        </w:numPr>
        <w:pStyle w:val="Compact"/>
      </w:pPr>
      <w:r>
        <w:t xml:space="preserve">График 5 (рис. 16).</w:t>
      </w:r>
    </w:p>
    <w:p>
      <w:pPr>
        <w:pStyle w:val="CaptionedFigure"/>
      </w:pPr>
      <w:r>
        <w:drawing>
          <wp:inline>
            <wp:extent cx="5334000" cy="2466038"/>
            <wp:effectExtent b="0" l="0" r="0" t="0"/>
            <wp:docPr descr="Рис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Рис</w:t>
      </w:r>
    </w:p>
    <w:p>
      <w:pPr>
        <w:pStyle w:val="BodyText"/>
      </w:pPr>
      <w:r>
        <w:t xml:space="preserve">График (рис. 17).</w:t>
      </w:r>
    </w:p>
    <w:p>
      <w:pPr>
        <w:pStyle w:val="CaptionedFigure"/>
      </w:pPr>
      <w:r>
        <w:drawing>
          <wp:inline>
            <wp:extent cx="5334000" cy="3402724"/>
            <wp:effectExtent b="0" l="0" r="0" t="0"/>
            <wp:docPr descr="Рис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Рис</w:t>
      </w:r>
    </w:p>
    <w:p>
      <w:pPr>
        <w:numPr>
          <w:ilvl w:val="0"/>
          <w:numId w:val="1012"/>
        </w:numPr>
        <w:pStyle w:val="Compact"/>
      </w:pPr>
      <w:r>
        <w:t xml:space="preserve">График 6 (рис. 18).</w:t>
      </w:r>
    </w:p>
    <w:p>
      <w:pPr>
        <w:pStyle w:val="CaptionedFigure"/>
      </w:pPr>
      <w:r>
        <w:drawing>
          <wp:inline>
            <wp:extent cx="5334000" cy="3279605"/>
            <wp:effectExtent b="0" l="0" r="0" t="0"/>
            <wp:docPr descr="Рис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Рис</w:t>
      </w:r>
    </w:p>
    <w:p>
      <w:pPr>
        <w:pStyle w:val="BodyText"/>
      </w:pPr>
      <w:r>
        <w:t xml:space="preserve">График (рис. 19).</w:t>
      </w:r>
    </w:p>
    <w:p>
      <w:pPr>
        <w:pStyle w:val="CaptionedFigure"/>
      </w:pPr>
      <w:r>
        <w:drawing>
          <wp:inline>
            <wp:extent cx="5334000" cy="2673667"/>
            <wp:effectExtent b="0" l="0" r="0" t="0"/>
            <wp:docPr descr="Рис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Рис</w:t>
      </w:r>
    </w:p>
    <w:p>
      <w:pPr>
        <w:numPr>
          <w:ilvl w:val="0"/>
          <w:numId w:val="1013"/>
        </w:numPr>
        <w:pStyle w:val="Compact"/>
      </w:pPr>
      <w:r>
        <w:t xml:space="preserve">График 7 (рис. 20).</w:t>
      </w:r>
    </w:p>
    <w:p>
      <w:pPr>
        <w:pStyle w:val="CaptionedFigure"/>
      </w:pPr>
      <w:r>
        <w:drawing>
          <wp:inline>
            <wp:extent cx="5334000" cy="2150806"/>
            <wp:effectExtent b="0" l="0" r="0" t="0"/>
            <wp:docPr descr="Рис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0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Рис</w:t>
      </w:r>
    </w:p>
    <w:p>
      <w:pPr>
        <w:pStyle w:val="BodyText"/>
      </w:pPr>
      <w:r>
        <w:t xml:space="preserve">График (рис. 21).</w:t>
      </w:r>
    </w:p>
    <w:p>
      <w:pPr>
        <w:pStyle w:val="CaptionedFigure"/>
      </w:pPr>
      <w:r>
        <w:drawing>
          <wp:inline>
            <wp:extent cx="5334000" cy="3609766"/>
            <wp:effectExtent b="0" l="0" r="0" t="0"/>
            <wp:docPr descr="Рис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Рис</w:t>
      </w:r>
    </w:p>
    <w:bookmarkEnd w:id="85"/>
    <w:bookmarkEnd w:id="86"/>
    <w:bookmarkStart w:id="136" w:name="выполнение-лабораторной-работы-1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14"/>
        </w:numPr>
        <w:pStyle w:val="Compact"/>
      </w:pPr>
      <w:r>
        <w:t xml:space="preserve">Создание рабочий каталог для кода. Устанавливаю необходимые пакеты с помощью: (рис. 22).</w:t>
      </w:r>
    </w:p>
    <w:p>
      <w:pPr>
        <w:pStyle w:val="CaptionedFigure"/>
      </w:pPr>
      <w:r>
        <w:drawing>
          <wp:inline>
            <wp:extent cx="5062888" cy="2310063"/>
            <wp:effectExtent b="0" l="0" r="0" t="0"/>
            <wp:docPr descr="Рисунок" title="" id="88" name="Picture"/>
            <a:graphic>
              <a:graphicData uri="http://schemas.openxmlformats.org/drawingml/2006/picture">
                <pic:pic>
                  <pic:nvPicPr>
                    <pic:cNvPr descr="image/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88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Рисунок</w:t>
      </w:r>
    </w:p>
    <w:p>
      <w:pPr>
        <w:numPr>
          <w:ilvl w:val="0"/>
          <w:numId w:val="1015"/>
        </w:numPr>
        <w:pStyle w:val="Compact"/>
      </w:pPr>
      <w:r>
        <w:t xml:space="preserve">Определение функции модели (рис. 23).</w:t>
      </w:r>
    </w:p>
    <w:p>
      <w:pPr>
        <w:pStyle w:val="CaptionedFigure"/>
      </w:pPr>
      <w:r>
        <w:drawing>
          <wp:inline>
            <wp:extent cx="4870383" cy="2127183"/>
            <wp:effectExtent b="0" l="0" r="0" t="0"/>
            <wp:docPr descr="Рисунок 3" title="" id="91" name="Picture"/>
            <a:graphic>
              <a:graphicData uri="http://schemas.openxmlformats.org/drawingml/2006/picture">
                <pic:pic>
                  <pic:nvPicPr>
                    <pic:cNvPr descr="image/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383" cy="212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Рисунок 3</w:t>
      </w:r>
    </w:p>
    <w:p>
      <w:pPr>
        <w:numPr>
          <w:ilvl w:val="0"/>
          <w:numId w:val="1016"/>
        </w:numPr>
        <w:pStyle w:val="Compact"/>
      </w:pPr>
      <w:r>
        <w:t xml:space="preserve">Началные условия (рис. 24).</w:t>
      </w:r>
    </w:p>
    <w:p>
      <w:pPr>
        <w:pStyle w:val="CaptionedFigure"/>
      </w:pPr>
      <w:r>
        <w:drawing>
          <wp:inline>
            <wp:extent cx="4976261" cy="1491915"/>
            <wp:effectExtent b="0" l="0" r="0" t="0"/>
            <wp:docPr descr="Рисунок 3" title="" id="94" name="Picture"/>
            <a:graphic>
              <a:graphicData uri="http://schemas.openxmlformats.org/drawingml/2006/picture">
                <pic:pic>
                  <pic:nvPicPr>
                    <pic:cNvPr descr="image/2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261" cy="149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Рисунок 3</w:t>
      </w:r>
    </w:p>
    <w:p>
      <w:pPr>
        <w:numPr>
          <w:ilvl w:val="0"/>
          <w:numId w:val="1017"/>
        </w:numPr>
        <w:pStyle w:val="Compact"/>
      </w:pPr>
      <w:r>
        <w:t xml:space="preserve">Создание и решение задачи (рис. 25).</w:t>
      </w:r>
    </w:p>
    <w:p>
      <w:pPr>
        <w:pStyle w:val="CaptionedFigure"/>
      </w:pPr>
      <w:r>
        <w:drawing>
          <wp:inline>
            <wp:extent cx="5334000" cy="1837438"/>
            <wp:effectExtent b="0" l="0" r="0" t="0"/>
            <wp:docPr descr="Рисунок 3" title="" id="97" name="Picture"/>
            <a:graphic>
              <a:graphicData uri="http://schemas.openxmlformats.org/drawingml/2006/picture">
                <pic:pic>
                  <pic:nvPicPr>
                    <pic:cNvPr descr="image/2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7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Рисунок 3</w:t>
      </w:r>
    </w:p>
    <w:bookmarkStart w:id="135" w:name="основной-график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ОСНОВНОЙ ГРАФИК</w:t>
      </w:r>
    </w:p>
    <w:p>
      <w:pPr>
        <w:numPr>
          <w:ilvl w:val="0"/>
          <w:numId w:val="1018"/>
        </w:numPr>
        <w:pStyle w:val="Compact"/>
      </w:pPr>
      <w:r>
        <w:t xml:space="preserve">График 1 (рис. 26).</w:t>
      </w:r>
    </w:p>
    <w:p>
      <w:pPr>
        <w:pStyle w:val="CaptionedFigure"/>
      </w:pPr>
      <w:r>
        <w:drawing>
          <wp:inline>
            <wp:extent cx="5334000" cy="2193532"/>
            <wp:effectExtent b="0" l="0" r="0" t="0"/>
            <wp:docPr descr="Рисунок" title="" id="100" name="Picture"/>
            <a:graphic>
              <a:graphicData uri="http://schemas.openxmlformats.org/drawingml/2006/picture">
                <pic:pic>
                  <pic:nvPicPr>
                    <pic:cNvPr descr="image/2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Рисунок</w:t>
      </w:r>
    </w:p>
    <w:p>
      <w:pPr>
        <w:pStyle w:val="BodyText"/>
      </w:pPr>
      <w:r>
        <w:t xml:space="preserve">График (рис. 27).</w:t>
      </w:r>
    </w:p>
    <w:p>
      <w:pPr>
        <w:pStyle w:val="CaptionedFigure"/>
      </w:pPr>
      <w:r>
        <w:drawing>
          <wp:inline>
            <wp:extent cx="5334000" cy="2989644"/>
            <wp:effectExtent b="0" l="0" r="0" t="0"/>
            <wp:docPr descr="Рисунок" title="" id="103" name="Picture"/>
            <a:graphic>
              <a:graphicData uri="http://schemas.openxmlformats.org/drawingml/2006/picture">
                <pic:pic>
                  <pic:nvPicPr>
                    <pic:cNvPr descr="image/2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Рисунок</w:t>
      </w:r>
    </w:p>
    <w:p>
      <w:pPr>
        <w:numPr>
          <w:ilvl w:val="0"/>
          <w:numId w:val="1019"/>
        </w:numPr>
        <w:pStyle w:val="Compact"/>
      </w:pPr>
      <w:r>
        <w:t xml:space="preserve">График 2 (рис. 28).</w:t>
      </w:r>
    </w:p>
    <w:p>
      <w:pPr>
        <w:pStyle w:val="CaptionedFigure"/>
      </w:pPr>
      <w:r>
        <w:drawing>
          <wp:inline>
            <wp:extent cx="5334000" cy="4513825"/>
            <wp:effectExtent b="0" l="0" r="0" t="0"/>
            <wp:docPr descr="Рис" title="" id="106" name="Picture"/>
            <a:graphic>
              <a:graphicData uri="http://schemas.openxmlformats.org/drawingml/2006/picture">
                <pic:pic>
                  <pic:nvPicPr>
                    <pic:cNvPr descr="image/2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3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Рис</w:t>
      </w:r>
    </w:p>
    <w:p>
      <w:pPr>
        <w:pStyle w:val="BodyText"/>
      </w:pPr>
      <w:r>
        <w:t xml:space="preserve">График (рис. 29).</w:t>
      </w:r>
    </w:p>
    <w:p>
      <w:pPr>
        <w:pStyle w:val="CaptionedFigure"/>
      </w:pPr>
      <w:r>
        <w:drawing>
          <wp:inline>
            <wp:extent cx="5334000" cy="4018858"/>
            <wp:effectExtent b="0" l="0" r="0" t="0"/>
            <wp:docPr descr="Рис" title="" id="109" name="Picture"/>
            <a:graphic>
              <a:graphicData uri="http://schemas.openxmlformats.org/drawingml/2006/picture">
                <pic:pic>
                  <pic:nvPicPr>
                    <pic:cNvPr descr="image/29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Рис</w:t>
      </w:r>
    </w:p>
    <w:p>
      <w:pPr>
        <w:numPr>
          <w:ilvl w:val="0"/>
          <w:numId w:val="1020"/>
        </w:numPr>
        <w:pStyle w:val="Compact"/>
      </w:pPr>
      <w:r>
        <w:t xml:space="preserve">График 3 (рис. 30).</w:t>
      </w:r>
    </w:p>
    <w:p>
      <w:pPr>
        <w:pStyle w:val="CaptionedFigure"/>
      </w:pPr>
      <w:r>
        <w:drawing>
          <wp:inline>
            <wp:extent cx="5334000" cy="1990396"/>
            <wp:effectExtent b="0" l="0" r="0" t="0"/>
            <wp:docPr descr="Рис" title="" id="112" name="Picture"/>
            <a:graphic>
              <a:graphicData uri="http://schemas.openxmlformats.org/drawingml/2006/picture">
                <pic:pic>
                  <pic:nvPicPr>
                    <pic:cNvPr descr="image/3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Рис</w:t>
      </w:r>
    </w:p>
    <w:p>
      <w:pPr>
        <w:pStyle w:val="BodyText"/>
      </w:pPr>
      <w:r>
        <w:t xml:space="preserve">График (рис. 31).</w:t>
      </w:r>
    </w:p>
    <w:p>
      <w:pPr>
        <w:pStyle w:val="CaptionedFigure"/>
      </w:pPr>
      <w:r>
        <w:drawing>
          <wp:inline>
            <wp:extent cx="5334000" cy="2412153"/>
            <wp:effectExtent b="0" l="0" r="0" t="0"/>
            <wp:docPr descr="Рис" title="" id="115" name="Picture"/>
            <a:graphic>
              <a:graphicData uri="http://schemas.openxmlformats.org/drawingml/2006/picture">
                <pic:pic>
                  <pic:nvPicPr>
                    <pic:cNvPr descr="image/3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Рис</w:t>
      </w:r>
    </w:p>
    <w:p>
      <w:pPr>
        <w:numPr>
          <w:ilvl w:val="0"/>
          <w:numId w:val="1021"/>
        </w:numPr>
        <w:pStyle w:val="Compact"/>
      </w:pPr>
      <w:r>
        <w:t xml:space="preserve">График 4 (рис. 32).</w:t>
      </w:r>
    </w:p>
    <w:p>
      <w:pPr>
        <w:pStyle w:val="CaptionedFigure"/>
      </w:pPr>
      <w:r>
        <w:drawing>
          <wp:inline>
            <wp:extent cx="5334000" cy="1861444"/>
            <wp:effectExtent b="0" l="0" r="0" t="0"/>
            <wp:docPr descr="Рис" title="" id="118" name="Picture"/>
            <a:graphic>
              <a:graphicData uri="http://schemas.openxmlformats.org/drawingml/2006/picture">
                <pic:pic>
                  <pic:nvPicPr>
                    <pic:cNvPr descr="image/3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1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Рис</w:t>
      </w:r>
    </w:p>
    <w:p>
      <w:pPr>
        <w:pStyle w:val="BodyText"/>
      </w:pPr>
      <w:r>
        <w:t xml:space="preserve">График (рис. 33).</w:t>
      </w:r>
    </w:p>
    <w:p>
      <w:pPr>
        <w:pStyle w:val="CaptionedFigure"/>
      </w:pPr>
      <w:r>
        <w:drawing>
          <wp:inline>
            <wp:extent cx="5334000" cy="2393156"/>
            <wp:effectExtent b="0" l="0" r="0" t="0"/>
            <wp:docPr descr="Рис" title="" id="121" name="Picture"/>
            <a:graphic>
              <a:graphicData uri="http://schemas.openxmlformats.org/drawingml/2006/picture">
                <pic:pic>
                  <pic:nvPicPr>
                    <pic:cNvPr descr="image/3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Рис</w:t>
      </w:r>
    </w:p>
    <w:p>
      <w:pPr>
        <w:numPr>
          <w:ilvl w:val="0"/>
          <w:numId w:val="1022"/>
        </w:numPr>
        <w:pStyle w:val="Compact"/>
      </w:pPr>
      <w:r>
        <w:t xml:space="preserve">График 5 (рис. 34).</w:t>
      </w:r>
    </w:p>
    <w:p>
      <w:pPr>
        <w:pStyle w:val="CaptionedFigure"/>
      </w:pPr>
      <w:r>
        <w:drawing>
          <wp:inline>
            <wp:extent cx="5334000" cy="4435461"/>
            <wp:effectExtent b="0" l="0" r="0" t="0"/>
            <wp:docPr descr="Рис" title="" id="124" name="Picture"/>
            <a:graphic>
              <a:graphicData uri="http://schemas.openxmlformats.org/drawingml/2006/picture">
                <pic:pic>
                  <pic:nvPicPr>
                    <pic:cNvPr descr="image/3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5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Рис</w:t>
      </w:r>
    </w:p>
    <w:p>
      <w:pPr>
        <w:pStyle w:val="BodyText"/>
      </w:pPr>
      <w:r>
        <w:t xml:space="preserve">График (рис. 35).</w:t>
      </w:r>
    </w:p>
    <w:p>
      <w:pPr>
        <w:pStyle w:val="CaptionedFigure"/>
      </w:pPr>
      <w:r>
        <w:drawing>
          <wp:inline>
            <wp:extent cx="5334000" cy="2707105"/>
            <wp:effectExtent b="0" l="0" r="0" t="0"/>
            <wp:docPr descr="Рис" title="" id="127" name="Picture"/>
            <a:graphic>
              <a:graphicData uri="http://schemas.openxmlformats.org/drawingml/2006/picture">
                <pic:pic>
                  <pic:nvPicPr>
                    <pic:cNvPr descr="image/3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Рис</w:t>
      </w:r>
    </w:p>
    <w:p>
      <w:pPr>
        <w:numPr>
          <w:ilvl w:val="0"/>
          <w:numId w:val="1023"/>
        </w:numPr>
        <w:pStyle w:val="Compact"/>
      </w:pPr>
      <w:r>
        <w:t xml:space="preserve">График 6 (рис. 36).</w:t>
      </w:r>
    </w:p>
    <w:p>
      <w:pPr>
        <w:pStyle w:val="CaptionedFigure"/>
      </w:pPr>
      <w:r>
        <w:drawing>
          <wp:inline>
            <wp:extent cx="5334000" cy="2587907"/>
            <wp:effectExtent b="0" l="0" r="0" t="0"/>
            <wp:docPr descr="Рис" title="" id="130" name="Picture"/>
            <a:graphic>
              <a:graphicData uri="http://schemas.openxmlformats.org/drawingml/2006/picture">
                <pic:pic>
                  <pic:nvPicPr>
                    <pic:cNvPr descr="image/3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7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Рис</w:t>
      </w:r>
    </w:p>
    <w:p>
      <w:pPr>
        <w:pStyle w:val="BodyText"/>
      </w:pPr>
      <w:r>
        <w:t xml:space="preserve">График (рис. 37).</w:t>
      </w:r>
    </w:p>
    <w:p>
      <w:pPr>
        <w:pStyle w:val="CaptionedFigure"/>
      </w:pPr>
      <w:r>
        <w:drawing>
          <wp:inline>
            <wp:extent cx="5334000" cy="3985236"/>
            <wp:effectExtent b="0" l="0" r="0" t="0"/>
            <wp:docPr descr="Рис" title="" id="133" name="Picture"/>
            <a:graphic>
              <a:graphicData uri="http://schemas.openxmlformats.org/drawingml/2006/picture">
                <pic:pic>
                  <pic:nvPicPr>
                    <pic:cNvPr descr="image/37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5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Рис</w:t>
      </w:r>
    </w:p>
    <w:bookmarkEnd w:id="135"/>
    <w:bookmarkEnd w:id="136"/>
    <w:bookmarkStart w:id="13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numPr>
          <w:ilvl w:val="0"/>
          <w:numId w:val="1024"/>
        </w:numPr>
        <w:pStyle w:val="Compact"/>
      </w:pPr>
      <w:r>
        <w:t xml:space="preserve">Я выполнила второую лабораторную работу.</w:t>
      </w:r>
    </w:p>
    <w:bookmarkEnd w:id="137"/>
    <w:bookmarkStart w:id="139" w:name="список-литературы"/>
    <w:p>
      <w:pPr>
        <w:pStyle w:val="Heading1"/>
      </w:pPr>
      <w:r>
        <w:t xml:space="preserve">Список литературы</w:t>
      </w:r>
    </w:p>
    <w:bookmarkStart w:id="138" w:name="refs"/>
    <w:bookmarkEnd w:id="138"/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6" Target="media/rId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29" Target="media/rId29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Разанацуа Сара Естэлл</dc:creator>
  <dc:language>ru-RU</dc:language>
  <cp:keywords/>
  <dcterms:created xsi:type="dcterms:W3CDTF">2026-03-07T18:47:31Z</dcterms:created>
  <dcterms:modified xsi:type="dcterms:W3CDTF">2026-03-07T18:47:31Z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Модели SIR и Лотки-Вольтерры.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