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28.png" ContentType="image/png"/>
  <Override PartName="/word/media/rId113.png" ContentType="image/png"/>
  <Override PartName="/word/media/rId116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моделирование.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Агентный подход к имитационному моделированию (Agent-Based Modeling, ABM) — это метод исследования сложных систем, в котором поведение системы возникает из взаимодействия множества автономных сущностей, называемых агентами. Вместо того чтобы описывать систему глобальными уравнениями, мы моделируем каждую индивидуальную единицу и правила её поведения, а затем наблюдаем, какие коллективные паттерны появляются снизу вверх. 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Создать рабочий каталог для кода.</w:t>
      </w:r>
    </w:p>
    <w:p>
      <w:pPr>
        <w:numPr>
          <w:ilvl w:val="0"/>
          <w:numId w:val="1002"/>
        </w:numPr>
        <w:pStyle w:val="Compact"/>
      </w:pPr>
      <w:r>
        <w:t xml:space="preserve">Установить необходимые пакеты.</w:t>
      </w:r>
    </w:p>
    <w:p>
      <w:pPr>
        <w:numPr>
          <w:ilvl w:val="0"/>
          <w:numId w:val="1002"/>
        </w:numPr>
        <w:pStyle w:val="Compact"/>
      </w:pPr>
      <w:r>
        <w:t xml:space="preserve">Выполнить предложенный код.</w:t>
      </w:r>
    </w:p>
    <w:p>
      <w:pPr>
        <w:numPr>
          <w:ilvl w:val="0"/>
          <w:numId w:val="1002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2"/>
        </w:numPr>
        <w:pStyle w:val="Compact"/>
      </w:pPr>
      <w:r>
        <w:t xml:space="preserve">Сгенерировать из литературного кода:</w:t>
      </w:r>
    </w:p>
    <w:p>
      <w:pPr>
        <w:numPr>
          <w:ilvl w:val="0"/>
          <w:numId w:val="1003"/>
        </w:numPr>
        <w:pStyle w:val="Compact"/>
      </w:pPr>
      <w:r>
        <w:t xml:space="preserve">чистый код;</w:t>
      </w:r>
    </w:p>
    <w:p>
      <w:pPr>
        <w:numPr>
          <w:ilvl w:val="0"/>
          <w:numId w:val="1003"/>
        </w:numPr>
        <w:pStyle w:val="Compact"/>
      </w:pPr>
      <w:r>
        <w:t xml:space="preserve">jupyter notebook;</w:t>
      </w:r>
    </w:p>
    <w:p>
      <w:pPr>
        <w:numPr>
          <w:ilvl w:val="0"/>
          <w:numId w:val="1003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4"/>
        </w:numPr>
        <w:pStyle w:val="Compact"/>
      </w:pPr>
      <w:r>
        <w:t xml:space="preserve">Выполнить код из jupyter notebook.</w:t>
      </w:r>
    </w:p>
    <w:p>
      <w:pPr>
        <w:numPr>
          <w:ilvl w:val="0"/>
          <w:numId w:val="1004"/>
        </w:numPr>
        <w:pStyle w:val="Compact"/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4"/>
        </w:numPr>
        <w:pStyle w:val="Compact"/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4"/>
        </w:numPr>
        <w:pStyle w:val="Compact"/>
      </w:pPr>
      <w:r>
        <w:t xml:space="preserve">Сгенерировать из литературного кода с параметрами:</w:t>
      </w:r>
    </w:p>
    <w:p>
      <w:pPr>
        <w:numPr>
          <w:ilvl w:val="0"/>
          <w:numId w:val="1005"/>
        </w:numPr>
        <w:pStyle w:val="Compact"/>
      </w:pPr>
      <w:r>
        <w:t xml:space="preserve">чистый код;</w:t>
      </w:r>
    </w:p>
    <w:p>
      <w:pPr>
        <w:numPr>
          <w:ilvl w:val="0"/>
          <w:numId w:val="1005"/>
        </w:numPr>
        <w:pStyle w:val="Compact"/>
      </w:pPr>
      <w:r>
        <w:t xml:space="preserve">jupyter notebook;</w:t>
      </w:r>
    </w:p>
    <w:p>
      <w:pPr>
        <w:numPr>
          <w:ilvl w:val="0"/>
          <w:numId w:val="1005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6"/>
        </w:numPr>
        <w:pStyle w:val="Compact"/>
      </w:pPr>
      <w:r>
        <w:t xml:space="preserve">Выполнить код из jupyter notebook с параметрами.</w:t>
      </w:r>
    </w:p>
    <w:p>
      <w:pPr>
        <w:numPr>
          <w:ilvl w:val="0"/>
          <w:numId w:val="1006"/>
        </w:numPr>
        <w:pStyle w:val="Compact"/>
      </w:pPr>
      <w:r>
        <w:t xml:space="preserve">Интегрировать документацию с параметрами в формате Quarto в отчёт.</w:t>
      </w:r>
    </w:p>
    <w:p>
      <w:pPr>
        <w:numPr>
          <w:ilvl w:val="0"/>
          <w:numId w:val="1007"/>
        </w:numPr>
        <w:pStyle w:val="Compact"/>
      </w:pPr>
      <w:r>
        <w:t xml:space="preserve">Результирующие файлы не удаляйте, выложите на git.</w:t>
      </w:r>
    </w:p>
    <w:bookmarkEnd w:id="21"/>
    <w:bookmarkStart w:id="12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реализация-на-agents.j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на Agents.jl</w:t>
      </w:r>
    </w:p>
    <w:p>
      <w:pPr>
        <w:numPr>
          <w:ilvl w:val="0"/>
          <w:numId w:val="1008"/>
        </w:numPr>
        <w:pStyle w:val="Compact"/>
      </w:pPr>
      <w:r>
        <w:t xml:space="preserve">Мы создадим файл src/daisyworld.jl. Здесь мы определим тип агента и функции шага модели.</w:t>
      </w:r>
    </w:p>
    <w:p>
      <w:pPr>
        <w:pStyle w:val="FirstParagraph"/>
      </w:pPr>
      <w:r>
        <w:t xml:space="preserve">(рис. 1).</w:t>
      </w:r>
    </w:p>
    <w:p>
      <w:pPr>
        <w:pStyle w:val="CaptionedFigure"/>
      </w:pPr>
      <w:r>
        <w:drawing>
          <wp:inline>
            <wp:extent cx="5334000" cy="2004866"/>
            <wp:effectExtent b="0" l="0" r="0" t="0"/>
            <wp:docPr descr="Рис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Рис</w:t>
      </w:r>
    </w:p>
    <w:p>
      <w:pPr>
        <w:numPr>
          <w:ilvl w:val="0"/>
          <w:numId w:val="1009"/>
        </w:numPr>
        <w:pStyle w:val="Compact"/>
      </w:pPr>
      <w:r>
        <w:t xml:space="preserve">Таблица, которая мы получили. 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5334000" cy="3871611"/>
            <wp:effectExtent b="0" l="0" r="0" t="0"/>
            <wp:docPr descr="Ри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Рис</w:t>
      </w:r>
    </w:p>
    <w:p>
      <w:pPr>
        <w:numPr>
          <w:ilvl w:val="0"/>
          <w:numId w:val="1010"/>
        </w:numPr>
        <w:pStyle w:val="Compact"/>
      </w:pPr>
      <w:r>
        <w:t xml:space="preserve">График баланса населении. (рис. 3).</w:t>
      </w:r>
    </w:p>
    <w:p>
      <w:pPr>
        <w:pStyle w:val="CaptionedFigure"/>
      </w:pPr>
      <w:r>
        <w:drawing>
          <wp:inline>
            <wp:extent cx="5334000" cy="3558958"/>
            <wp:effectExtent b="0" l="0" r="0" t="0"/>
            <wp:docPr descr="Рис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Рис</w:t>
      </w:r>
    </w:p>
    <w:bookmarkEnd w:id="31"/>
    <w:bookmarkStart w:id="50" w:name="базовая-визуализац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Базовая визуализация</w:t>
      </w:r>
    </w:p>
    <w:p>
      <w:pPr>
        <w:numPr>
          <w:ilvl w:val="0"/>
          <w:numId w:val="1011"/>
        </w:numPr>
        <w:pStyle w:val="Compact"/>
      </w:pPr>
      <w:r>
        <w:t xml:space="preserve">Анализ полученной визуализации показывает неоднородное распределение температуры по поверхности модели. Можно заметить корреляцию между плотностью популяции маргариток и локальной температурой: черные маргаритки (с низким альбедо) способствуют поглощению тепла, в то время как белые маргаритки (с высоким альбедо) отражают солнечное излучение. Данная визуализация является отправной точкой для исследования механизмов саморегуляции климата в модели. (рис. 4).</w:t>
      </w:r>
    </w:p>
    <w:p>
      <w:pPr>
        <w:pStyle w:val="CaptionedFigure"/>
      </w:pPr>
      <w:r>
        <w:drawing>
          <wp:inline>
            <wp:extent cx="5334000" cy="4793761"/>
            <wp:effectExtent b="0" l="0" r="0" t="0"/>
            <wp:docPr descr="Рис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Рис</w:t>
      </w:r>
    </w:p>
    <w:p>
      <w:pPr>
        <w:numPr>
          <w:ilvl w:val="0"/>
          <w:numId w:val="1012"/>
        </w:numPr>
        <w:pStyle w:val="Compact"/>
      </w:pPr>
      <w:r>
        <w:t xml:space="preserve">Визуализация 1: (рис. 5).</w:t>
      </w:r>
    </w:p>
    <w:p>
      <w:pPr>
        <w:pStyle w:val="CaptionedFigure"/>
      </w:pPr>
      <w:r>
        <w:drawing>
          <wp:inline>
            <wp:extent cx="5334000" cy="5525443"/>
            <wp:effectExtent b="0" l="0" r="0" t="0"/>
            <wp:docPr descr="Рис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Рис</w:t>
      </w:r>
    </w:p>
    <w:p>
      <w:pPr>
        <w:numPr>
          <w:ilvl w:val="0"/>
          <w:numId w:val="1013"/>
        </w:numPr>
        <w:pStyle w:val="Compact"/>
      </w:pPr>
      <w:r>
        <w:t xml:space="preserve">Визуализация 2: (рис. 6).</w:t>
      </w:r>
    </w:p>
    <w:p>
      <w:pPr>
        <w:pStyle w:val="CaptionedFigure"/>
      </w:pPr>
      <w:r>
        <w:drawing>
          <wp:inline>
            <wp:extent cx="5334000" cy="4849090"/>
            <wp:effectExtent b="0" l="0" r="0" t="0"/>
            <wp:docPr descr="Рис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Рис</w:t>
      </w:r>
    </w:p>
    <w:p>
      <w:pPr>
        <w:numPr>
          <w:ilvl w:val="0"/>
          <w:numId w:val="1014"/>
        </w:numPr>
        <w:pStyle w:val="Compact"/>
      </w:pPr>
      <w:r>
        <w:t xml:space="preserve">Визуализация 3: (рис. 7).</w:t>
      </w:r>
    </w:p>
    <w:p>
      <w:pPr>
        <w:pStyle w:val="CaptionedFigure"/>
      </w:pPr>
      <w:r>
        <w:drawing>
          <wp:inline>
            <wp:extent cx="5334000" cy="4914781"/>
            <wp:effectExtent b="0" l="0" r="0" t="0"/>
            <wp:docPr descr="Рис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Рис</w:t>
      </w:r>
    </w:p>
    <w:p>
      <w:pPr>
        <w:numPr>
          <w:ilvl w:val="0"/>
          <w:numId w:val="1015"/>
        </w:numPr>
        <w:pStyle w:val="Compact"/>
      </w:pPr>
      <w:r>
        <w:t xml:space="preserve">Сгенерирование из литературного кода:</w:t>
      </w:r>
    </w:p>
    <w:p>
      <w:pPr>
        <w:numPr>
          <w:ilvl w:val="0"/>
          <w:numId w:val="1015"/>
        </w:numPr>
        <w:pStyle w:val="Compact"/>
      </w:pPr>
      <w:r>
        <w:t xml:space="preserve">чистый код;</w:t>
      </w:r>
    </w:p>
    <w:p>
      <w:pPr>
        <w:numPr>
          <w:ilvl w:val="0"/>
          <w:numId w:val="1015"/>
        </w:numPr>
        <w:pStyle w:val="Compact"/>
      </w:pPr>
      <w:r>
        <w:t xml:space="preserve">jupyter notebook;</w:t>
      </w:r>
    </w:p>
    <w:p>
      <w:pPr>
        <w:numPr>
          <w:ilvl w:val="0"/>
          <w:numId w:val="1015"/>
        </w:numPr>
        <w:pStyle w:val="Compact"/>
      </w:pPr>
      <w:r>
        <w:t xml:space="preserve">документацию в формате Quarto. (рис. 8).</w:t>
      </w:r>
    </w:p>
    <w:p>
      <w:pPr>
        <w:pStyle w:val="CaptionedFigure"/>
      </w:pPr>
      <w:r>
        <w:drawing>
          <wp:inline>
            <wp:extent cx="5334000" cy="4480336"/>
            <wp:effectExtent b="0" l="0" r="0" t="0"/>
            <wp:docPr descr="Рис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Рис</w:t>
      </w:r>
    </w:p>
    <w:p>
      <w:pPr>
        <w:numPr>
          <w:ilvl w:val="0"/>
          <w:numId w:val="1016"/>
        </w:numPr>
        <w:pStyle w:val="Compact"/>
      </w:pPr>
      <w:r>
        <w:t xml:space="preserve">Визуализация (рис. 9).</w:t>
      </w:r>
    </w:p>
    <w:p>
      <w:pPr>
        <w:pStyle w:val="CaptionedFigure"/>
      </w:pPr>
      <w:r>
        <w:drawing>
          <wp:inline>
            <wp:extent cx="5334000" cy="4115540"/>
            <wp:effectExtent b="0" l="0" r="0" t="0"/>
            <wp:docPr descr="Рис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Рис</w:t>
      </w:r>
    </w:p>
    <w:bookmarkEnd w:id="50"/>
    <w:bookmarkStart w:id="57" w:name="анимация-модел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Анимация модели</w:t>
      </w:r>
    </w:p>
    <w:p>
      <w:pPr>
        <w:numPr>
          <w:ilvl w:val="0"/>
          <w:numId w:val="1017"/>
        </w:numPr>
        <w:pStyle w:val="Compact"/>
      </w:pPr>
      <w:r>
        <w:t xml:space="preserve">Создание файла scripts/daisyworld-animate.jl. (рис. 10).</w:t>
      </w:r>
    </w:p>
    <w:p>
      <w:pPr>
        <w:pStyle w:val="CaptionedFigure"/>
      </w:pPr>
      <w:r>
        <w:drawing>
          <wp:inline>
            <wp:extent cx="5334000" cy="806823"/>
            <wp:effectExtent b="0" l="0" r="0" t="0"/>
            <wp:docPr descr="Рис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Рис</w:t>
      </w:r>
    </w:p>
    <w:p>
      <w:pPr>
        <w:numPr>
          <w:ilvl w:val="0"/>
          <w:numId w:val="1018"/>
        </w:numPr>
      </w:pPr>
      <w:r>
        <w:t xml:space="preserve">Анимация модели позволила выявить фазы экспансии и сокращения популяций в зависимости от локальных температурных условий. На видео четко прослеживается эффект</w:t>
      </w:r>
      <w:r>
        <w:t xml:space="preserve"> </w:t>
      </w:r>
      <w:r>
        <w:t xml:space="preserve">“</w:t>
      </w:r>
      <w:r>
        <w:t xml:space="preserve">обратной связи</w:t>
      </w:r>
      <w:r>
        <w:t xml:space="preserve">”</w:t>
      </w:r>
      <w:r>
        <w:t xml:space="preserve">: черные маргаритки начинают доминировать при низких температурах, разогревая поверхность, что создает условия для последующего распространения белых маргариток. Этот динамический процесс является ключевым доказательством устойчивости моделируемой экосистемы.</w:t>
      </w:r>
    </w:p>
    <w:p>
      <w:pPr>
        <w:numPr>
          <w:ilvl w:val="0"/>
          <w:numId w:val="1018"/>
        </w:numPr>
      </w:pPr>
      <w:r>
        <w:t xml:space="preserve">Код (рис. 11).</w:t>
      </w:r>
    </w:p>
    <w:p>
      <w:pPr>
        <w:pStyle w:val="CaptionedFigure"/>
      </w:pPr>
      <w:r>
        <w:drawing>
          <wp:inline>
            <wp:extent cx="5334000" cy="3976371"/>
            <wp:effectExtent b="0" l="0" r="0" t="0"/>
            <wp:docPr descr="Рис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Рис</w:t>
      </w:r>
    </w:p>
    <w:bookmarkEnd w:id="57"/>
    <w:bookmarkStart w:id="70" w:name="динамика-числа-маргарито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Динамика числа маргариток</w:t>
      </w:r>
    </w:p>
    <w:p>
      <w:pPr>
        <w:numPr>
          <w:ilvl w:val="0"/>
          <w:numId w:val="1019"/>
        </w:numPr>
        <w:pStyle w:val="Compact"/>
      </w:pPr>
      <w:r>
        <w:t xml:space="preserve">Построим график изменения числа маргариток в зависимости от модельного</w:t>
      </w:r>
      <w:r>
        <w:t xml:space="preserve"> </w:t>
      </w:r>
      <w:r>
        <w:t xml:space="preserve">времени (рис. 12).</w:t>
      </w:r>
    </w:p>
    <w:p>
      <w:pPr>
        <w:pStyle w:val="CaptionedFigure"/>
      </w:pPr>
      <w:r>
        <w:drawing>
          <wp:inline>
            <wp:extent cx="5334000" cy="3570804"/>
            <wp:effectExtent b="0" l="0" r="0" t="0"/>
            <wp:docPr descr="Рис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Рис</w:t>
      </w:r>
    </w:p>
    <w:p>
      <w:pPr>
        <w:numPr>
          <w:ilvl w:val="0"/>
          <w:numId w:val="1020"/>
        </w:numPr>
        <w:pStyle w:val="Compact"/>
      </w:pPr>
      <w:r>
        <w:t xml:space="preserve">Сгенерирование из литературного кода:</w:t>
      </w:r>
    </w:p>
    <w:p>
      <w:pPr>
        <w:numPr>
          <w:ilvl w:val="0"/>
          <w:numId w:val="1020"/>
        </w:numPr>
        <w:pStyle w:val="Compact"/>
      </w:pPr>
      <w:r>
        <w:t xml:space="preserve">чистый код;</w:t>
      </w:r>
    </w:p>
    <w:p>
      <w:pPr>
        <w:numPr>
          <w:ilvl w:val="0"/>
          <w:numId w:val="1020"/>
        </w:numPr>
        <w:pStyle w:val="Compact"/>
      </w:pPr>
      <w:r>
        <w:t xml:space="preserve">jupyter notebook;</w:t>
      </w:r>
    </w:p>
    <w:p>
      <w:pPr>
        <w:numPr>
          <w:ilvl w:val="0"/>
          <w:numId w:val="1020"/>
        </w:numPr>
        <w:pStyle w:val="Compact"/>
      </w:pPr>
      <w:r>
        <w:t xml:space="preserve">документацию в формате Quarto. (рис. 13).</w:t>
      </w:r>
    </w:p>
    <w:p>
      <w:pPr>
        <w:pStyle w:val="CaptionedFigure"/>
      </w:pPr>
      <w:r>
        <w:drawing>
          <wp:inline>
            <wp:extent cx="5334000" cy="2521837"/>
            <wp:effectExtent b="0" l="0" r="0" t="0"/>
            <wp:docPr descr="Рис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Рис</w:t>
      </w:r>
    </w:p>
    <w:p>
      <w:pPr>
        <w:numPr>
          <w:ilvl w:val="0"/>
          <w:numId w:val="1021"/>
        </w:numPr>
        <w:pStyle w:val="Compact"/>
      </w:pPr>
      <w:r>
        <w:t xml:space="preserve">Таблица (рис. 14).</w:t>
      </w:r>
    </w:p>
    <w:p>
      <w:pPr>
        <w:pStyle w:val="CaptionedFigure"/>
      </w:pPr>
      <w:r>
        <w:drawing>
          <wp:inline>
            <wp:extent cx="5334000" cy="4293897"/>
            <wp:effectExtent b="0" l="0" r="0" t="0"/>
            <wp:docPr descr="Рис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Рис</w:t>
      </w:r>
    </w:p>
    <w:p>
      <w:pPr>
        <w:numPr>
          <w:ilvl w:val="0"/>
          <w:numId w:val="1022"/>
        </w:numPr>
        <w:pStyle w:val="Compact"/>
      </w:pPr>
      <w:r>
        <w:t xml:space="preserve">Визуализации (рис. 15).</w:t>
      </w:r>
    </w:p>
    <w:p>
      <w:pPr>
        <w:pStyle w:val="CaptionedFigure"/>
      </w:pPr>
      <w:r>
        <w:drawing>
          <wp:inline>
            <wp:extent cx="5334000" cy="3635527"/>
            <wp:effectExtent b="0" l="0" r="0" t="0"/>
            <wp:docPr descr="Рис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Рис</w:t>
      </w:r>
    </w:p>
    <w:bookmarkEnd w:id="70"/>
    <w:bookmarkStart w:id="77" w:name="динамика-модел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Динамика модели</w:t>
      </w:r>
    </w:p>
    <w:p>
      <w:pPr>
        <w:numPr>
          <w:ilvl w:val="0"/>
          <w:numId w:val="1023"/>
        </w:numPr>
        <w:pStyle w:val="Compact"/>
      </w:pPr>
      <w:r>
        <w:t xml:space="preserve">Построим комплексный график изменения числа маргариток, температуры, аль-</w:t>
      </w:r>
      <w:r>
        <w:t xml:space="preserve"> </w:t>
      </w:r>
      <w:r>
        <w:t xml:space="preserve">бедо в зависимости от модельного времени (рис. 16).</w:t>
      </w:r>
    </w:p>
    <w:p>
      <w:pPr>
        <w:pStyle w:val="CaptionedFigure"/>
      </w:pPr>
      <w:r>
        <w:drawing>
          <wp:inline>
            <wp:extent cx="5334000" cy="5352982"/>
            <wp:effectExtent b="0" l="0" r="0" t="0"/>
            <wp:docPr descr="Рис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Рис</w:t>
      </w:r>
    </w:p>
    <w:p>
      <w:pPr>
        <w:numPr>
          <w:ilvl w:val="0"/>
          <w:numId w:val="1024"/>
        </w:numPr>
        <w:pStyle w:val="Compact"/>
      </w:pPr>
      <w:r>
        <w:t xml:space="preserve">Визуализации в jupyter notebook (рис. 17).</w:t>
      </w:r>
    </w:p>
    <w:p>
      <w:pPr>
        <w:pStyle w:val="CaptionedFigure"/>
      </w:pPr>
      <w:r>
        <w:drawing>
          <wp:inline>
            <wp:extent cx="5334000" cy="4521941"/>
            <wp:effectExtent b="0" l="0" r="0" t="0"/>
            <wp:docPr descr="Рис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Рис</w:t>
      </w:r>
    </w:p>
    <w:bookmarkEnd w:id="77"/>
    <w:bookmarkStart w:id="90" w:name="базовая-визуализация-параметры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Базовая визуализация (параметры)</w:t>
      </w:r>
    </w:p>
    <w:p>
      <w:pPr>
        <w:numPr>
          <w:ilvl w:val="0"/>
          <w:numId w:val="1025"/>
        </w:numPr>
        <w:pStyle w:val="Compact"/>
      </w:pPr>
      <w:r>
        <w:t xml:space="preserve">В данном подразделе реализовано расширение базовой модели за счет введения варьируемых параметров эксперимента. С помощью словаря param_dict определены диапазоны значений для таких характеристик, как максимальный возраст маргариток (max_age) и начальная доля белых маргариток (init_white). Это позволяет автоматизировать процесс проведения серии симуляций (ensemble runs) и в дальнейшем проанализировать, как начальные условия влияют на стабильность климатической системы</w:t>
      </w:r>
      <w:r>
        <w:t xml:space="preserve"> </w:t>
      </w:r>
      <w:r>
        <w:t xml:space="preserve">“</w:t>
      </w:r>
      <w:r>
        <w:t xml:space="preserve">Мира маргариток</w:t>
      </w:r>
      <w:r>
        <w:t xml:space="preserve">”</w:t>
      </w:r>
      <w:r>
        <w:t xml:space="preserve">. (рис. 18).</w:t>
      </w:r>
    </w:p>
    <w:p>
      <w:pPr>
        <w:pStyle w:val="CaptionedFigure"/>
      </w:pPr>
      <w:r>
        <w:drawing>
          <wp:inline>
            <wp:extent cx="5334000" cy="5005839"/>
            <wp:effectExtent b="0" l="0" r="0" t="0"/>
            <wp:docPr descr="Рис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Рис</w:t>
      </w:r>
    </w:p>
    <w:p>
      <w:pPr>
        <w:numPr>
          <w:ilvl w:val="0"/>
          <w:numId w:val="1026"/>
        </w:numPr>
        <w:pStyle w:val="Compact"/>
      </w:pPr>
      <w:r>
        <w:t xml:space="preserve">Визуализации 1 (рис. 19).</w:t>
      </w:r>
    </w:p>
    <w:p>
      <w:pPr>
        <w:pStyle w:val="CaptionedFigure"/>
      </w:pPr>
      <w:r>
        <w:drawing>
          <wp:inline>
            <wp:extent cx="5334000" cy="5302400"/>
            <wp:effectExtent b="0" l="0" r="0" t="0"/>
            <wp:docPr descr="Рис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Рис</w:t>
      </w:r>
    </w:p>
    <w:p>
      <w:pPr>
        <w:numPr>
          <w:ilvl w:val="0"/>
          <w:numId w:val="1027"/>
        </w:numPr>
        <w:pStyle w:val="Compact"/>
      </w:pPr>
      <w:r>
        <w:t xml:space="preserve">Визуализации 2 (рис. 20).</w:t>
      </w:r>
    </w:p>
    <w:p>
      <w:pPr>
        <w:pStyle w:val="CaptionedFigure"/>
      </w:pPr>
      <w:r>
        <w:drawing>
          <wp:inline>
            <wp:extent cx="5334000" cy="5340327"/>
            <wp:effectExtent b="0" l="0" r="0" t="0"/>
            <wp:docPr descr="Рис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Рис</w:t>
      </w:r>
    </w:p>
    <w:p>
      <w:pPr>
        <w:numPr>
          <w:ilvl w:val="0"/>
          <w:numId w:val="1028"/>
        </w:numPr>
        <w:pStyle w:val="Compact"/>
      </w:pPr>
      <w:r>
        <w:t xml:space="preserve">Визуализации 3 (рис. 21).</w:t>
      </w:r>
    </w:p>
    <w:p>
      <w:pPr>
        <w:pStyle w:val="CaptionedFigure"/>
      </w:pPr>
      <w:r>
        <w:drawing>
          <wp:inline>
            <wp:extent cx="5334000" cy="5276645"/>
            <wp:effectExtent b="0" l="0" r="0" t="0"/>
            <wp:docPr descr="Рисунок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Рисунок</w:t>
      </w:r>
    </w:p>
    <w:bookmarkEnd w:id="90"/>
    <w:bookmarkStart w:id="106" w:name="динамика-числа-маргариток-параметры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Динамика числа маргариток (параметры)</w:t>
      </w:r>
    </w:p>
    <w:p>
      <w:pPr>
        <w:numPr>
          <w:ilvl w:val="0"/>
          <w:numId w:val="1029"/>
        </w:numPr>
        <w:pStyle w:val="Compact"/>
      </w:pPr>
      <w:r>
        <w:t xml:space="preserve">Процесс генерации графиков динамики был полностью автоматизирован в рамках парадигмы литературного программирования. Код из файла scripts/daisyworld-count__param.jl интегрирован в итоговый отчет Quarto, что гарантирует соответствие представленных данных текущим настройкам параметров эксперимента. Такой подход исключает ошибки ручного переноса данных и позволяет быстро пересчитать все результаты при изменении исходных условий в словаре параметров. (рис. 22).</w:t>
      </w:r>
    </w:p>
    <w:p>
      <w:pPr>
        <w:pStyle w:val="CaptionedFigure"/>
      </w:pPr>
      <w:r>
        <w:drawing>
          <wp:inline>
            <wp:extent cx="5334000" cy="3753089"/>
            <wp:effectExtent b="0" l="0" r="0" t="0"/>
            <wp:docPr descr="Рис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Рис</w:t>
      </w:r>
    </w:p>
    <w:p>
      <w:pPr>
        <w:numPr>
          <w:ilvl w:val="0"/>
          <w:numId w:val="1030"/>
        </w:numPr>
        <w:pStyle w:val="Compact"/>
      </w:pPr>
      <w:r>
        <w:t xml:space="preserve">Визуализации 1 (рис. 23).</w:t>
      </w:r>
    </w:p>
    <w:p>
      <w:pPr>
        <w:pStyle w:val="CaptionedFigure"/>
      </w:pPr>
      <w:r>
        <w:drawing>
          <wp:inline>
            <wp:extent cx="5334000" cy="3540448"/>
            <wp:effectExtent b="0" l="0" r="0" t="0"/>
            <wp:docPr descr="Рис" title="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Рис</w:t>
      </w:r>
    </w:p>
    <w:p>
      <w:pPr>
        <w:numPr>
          <w:ilvl w:val="0"/>
          <w:numId w:val="1031"/>
        </w:numPr>
        <w:pStyle w:val="Compact"/>
      </w:pPr>
      <w:r>
        <w:t xml:space="preserve">Визуализации 2 (рис. 24).</w:t>
      </w:r>
    </w:p>
    <w:p>
      <w:pPr>
        <w:pStyle w:val="CaptionedFigure"/>
      </w:pPr>
      <w:r>
        <w:drawing>
          <wp:inline>
            <wp:extent cx="5334000" cy="3560456"/>
            <wp:effectExtent b="0" l="0" r="0" t="0"/>
            <wp:docPr descr="Рис" title="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Рис</w:t>
      </w:r>
    </w:p>
    <w:p>
      <w:pPr>
        <w:numPr>
          <w:ilvl w:val="0"/>
          <w:numId w:val="1032"/>
        </w:numPr>
        <w:pStyle w:val="Compact"/>
      </w:pPr>
      <w:r>
        <w:t xml:space="preserve">Визуализации 3 (рис. 25).</w:t>
      </w:r>
    </w:p>
    <w:p>
      <w:pPr>
        <w:pStyle w:val="CaptionedFigure"/>
      </w:pPr>
      <w:r>
        <w:drawing>
          <wp:inline>
            <wp:extent cx="5334000" cy="3569402"/>
            <wp:effectExtent b="0" l="0" r="0" t="0"/>
            <wp:docPr descr="Рис" title="" id="101" name="Picture"/>
            <a:graphic>
              <a:graphicData uri="http://schemas.openxmlformats.org/drawingml/2006/picture">
                <pic:pic>
                  <pic:nvPicPr>
                    <pic:cNvPr descr="image/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Рис</w:t>
      </w:r>
    </w:p>
    <w:p>
      <w:pPr>
        <w:numPr>
          <w:ilvl w:val="0"/>
          <w:numId w:val="1033"/>
        </w:numPr>
        <w:pStyle w:val="Compact"/>
      </w:pPr>
      <w:r>
        <w:t xml:space="preserve">Визуализации 4 (рис. 26).</w:t>
      </w:r>
    </w:p>
    <w:p>
      <w:pPr>
        <w:pStyle w:val="CaptionedFigure"/>
      </w:pPr>
      <w:r>
        <w:drawing>
          <wp:inline>
            <wp:extent cx="5334000" cy="3493614"/>
            <wp:effectExtent b="0" l="0" r="0" t="0"/>
            <wp:docPr descr="Рис" title="" id="104" name="Picture"/>
            <a:graphic>
              <a:graphicData uri="http://schemas.openxmlformats.org/drawingml/2006/picture">
                <pic:pic>
                  <pic:nvPicPr>
                    <pic:cNvPr descr="image/2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Рис</w:t>
      </w:r>
    </w:p>
    <w:bookmarkEnd w:id="106"/>
    <w:bookmarkStart w:id="119" w:name="динамика-модели-параметры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Динамика модели (параметры)</w:t>
      </w:r>
    </w:p>
    <w:p>
      <w:pPr>
        <w:numPr>
          <w:ilvl w:val="0"/>
          <w:numId w:val="1034"/>
        </w:numPr>
        <w:pStyle w:val="Compact"/>
      </w:pPr>
      <w:r>
        <w:t xml:space="preserve">Построим комплексный график изменения числа маргариток, температуры, альбедо в зависимости от модельного времени с разными параметрами модели. (рис. 27).</w:t>
      </w:r>
    </w:p>
    <w:p>
      <w:pPr>
        <w:pStyle w:val="CaptionedFigure"/>
      </w:pPr>
      <w:r>
        <w:drawing>
          <wp:inline>
            <wp:extent cx="5334000" cy="4671425"/>
            <wp:effectExtent b="0" l="0" r="0" t="0"/>
            <wp:docPr descr="Рис" title="" id="108" name="Picture"/>
            <a:graphic>
              <a:graphicData uri="http://schemas.openxmlformats.org/drawingml/2006/picture">
                <pic:pic>
                  <pic:nvPicPr>
                    <pic:cNvPr descr="image/2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Рис</w:t>
      </w:r>
    </w:p>
    <w:p>
      <w:pPr>
        <w:numPr>
          <w:ilvl w:val="0"/>
          <w:numId w:val="1035"/>
        </w:numPr>
        <w:pStyle w:val="Compact"/>
      </w:pPr>
      <w:r>
        <w:t xml:space="preserve">Визуализации 1 (рис. 28).</w:t>
      </w:r>
    </w:p>
    <w:p>
      <w:pPr>
        <w:pStyle w:val="CaptionedFigure"/>
      </w:pPr>
      <w:r>
        <w:drawing>
          <wp:inline>
            <wp:extent cx="5334000" cy="5321345"/>
            <wp:effectExtent b="0" l="0" r="0" t="0"/>
            <wp:docPr descr="Рис" title="" id="111" name="Picture"/>
            <a:graphic>
              <a:graphicData uri="http://schemas.openxmlformats.org/drawingml/2006/picture">
                <pic:pic>
                  <pic:nvPicPr>
                    <pic:cNvPr descr="image/2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Рис</w:t>
      </w:r>
    </w:p>
    <w:p>
      <w:pPr>
        <w:numPr>
          <w:ilvl w:val="0"/>
          <w:numId w:val="1036"/>
        </w:numPr>
        <w:pStyle w:val="Compact"/>
      </w:pPr>
      <w:r>
        <w:t xml:space="preserve">Визуализации 2 (рис. 29).</w:t>
      </w:r>
    </w:p>
    <w:p>
      <w:pPr>
        <w:pStyle w:val="CaptionedFigure"/>
      </w:pPr>
      <w:r>
        <w:drawing>
          <wp:inline>
            <wp:extent cx="5334000" cy="5352982"/>
            <wp:effectExtent b="0" l="0" r="0" t="0"/>
            <wp:docPr descr="Рис" title="" id="114" name="Picture"/>
            <a:graphic>
              <a:graphicData uri="http://schemas.openxmlformats.org/drawingml/2006/picture">
                <pic:pic>
                  <pic:nvPicPr>
                    <pic:cNvPr descr="image/3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Рис</w:t>
      </w:r>
    </w:p>
    <w:p>
      <w:pPr>
        <w:numPr>
          <w:ilvl w:val="0"/>
          <w:numId w:val="1037"/>
        </w:numPr>
        <w:pStyle w:val="Compact"/>
      </w:pPr>
      <w:r>
        <w:t xml:space="preserve">Визуализации 3 (рис. 30).</w:t>
      </w:r>
    </w:p>
    <w:p>
      <w:pPr>
        <w:pStyle w:val="CaptionedFigure"/>
      </w:pPr>
      <w:r>
        <w:drawing>
          <wp:inline>
            <wp:extent cx="5334000" cy="5327672"/>
            <wp:effectExtent b="0" l="0" r="0" t="0"/>
            <wp:docPr descr="Рис" title="" id="117" name="Picture"/>
            <a:graphic>
              <a:graphicData uri="http://schemas.openxmlformats.org/drawingml/2006/picture">
                <pic:pic>
                  <pic:nvPicPr>
                    <pic:cNvPr descr="image/3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7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Рис</w:t>
      </w:r>
    </w:p>
    <w:bookmarkEnd w:id="119"/>
    <w:bookmarkEnd w:id="120"/>
    <w:bookmarkStart w:id="12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38"/>
        </w:numPr>
        <w:pStyle w:val="Compact"/>
      </w:pPr>
      <w:r>
        <w:t xml:space="preserve">Я выполнила лабораторную работу.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Разанацуа Сара Естэлл</dc:creator>
  <dc:language>ru-RU</dc:language>
  <cp:keywords/>
  <dcterms:created xsi:type="dcterms:W3CDTF">2026-03-19T07:37:06Z</dcterms:created>
  <dcterms:modified xsi:type="dcterms:W3CDTF">2026-03-19T07:37:06Z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Агентное моделирование.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