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 w:eastAsia="Calibri"/>
          <w:b/>
          <w:color w:val="0B1B3A"/>
          <w:sz w:val="44"/>
        </w:rPr>
        <w:t>SmartStart</w:t>
      </w:r>
    </w:p>
    <w:p>
      <w:pPr>
        <w:spacing w:before="200" w:after="80"/>
      </w:pPr>
      <w:r>
        <w:rPr>
          <w:rFonts w:ascii="Calibri" w:hAnsi="Calibri" w:eastAsia="Calibri"/>
          <w:b/>
          <w:color w:val="1A5F8A"/>
          <w:sz w:val="24"/>
        </w:rPr>
        <w:t>How the features were added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Document type: Feature build history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Audience: Manager / leadership review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Prepared: 23 October 2026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Basis: Prototype iterations from mid-September to mid-October 2026</w:t>
      </w:r>
    </w:p>
    <w:p/>
    <w:p>
      <w:pPr>
        <w:spacing w:before="320" w:after="120"/>
      </w:pPr>
      <w:r>
        <w:rPr>
          <w:rFonts w:ascii="Calibri" w:hAnsi="Calibri" w:eastAsia="Calibri"/>
          <w:b/>
          <w:color w:val="0B1B3A"/>
          <w:sz w:val="28"/>
        </w:rPr>
        <w:t>1. How we built (the working method)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Features were not designed as one giant release. Each slice was added as a focused prototype branch, demoed, then used as the base for the next piece. Rough pattern: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Identify a gap from a demo or stakeholder conversation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Build the smallest end-to-end slice that makes the story clearer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Keep employee and employer experiences connected where it matters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Document in Confluence-ready form when a slice is stable enough to explain</w:t>
      </w:r>
    </w:p>
    <w:p>
      <w:pPr>
        <w:spacing w:before="320" w:after="120"/>
      </w:pPr>
      <w:r>
        <w:rPr>
          <w:rFonts w:ascii="Calibri" w:hAnsi="Calibri" w:eastAsia="Calibri"/>
          <w:b/>
          <w:color w:val="0B1B3A"/>
          <w:sz w:val="28"/>
        </w:rPr>
        <w:t>2. Feature waves (in the order they landed)</w:t>
      </w:r>
    </w:p>
    <w:p>
      <w:pPr>
        <w:spacing w:before="200" w:after="80"/>
      </w:pPr>
      <w:r>
        <w:rPr>
          <w:rFonts w:ascii="Calibri" w:hAnsi="Calibri" w:eastAsia="Calibri"/>
          <w:b/>
          <w:color w:val="1A5F8A"/>
          <w:sz w:val="24"/>
        </w:rPr>
        <w:t>Wave A — Foundation (mid September)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Synthetic data engine and onboarding model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Employer Command Center (first version)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Employee experience for Intern / FTE joiners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Early AI prototype hooks in the employee workspace</w:t>
      </w:r>
    </w:p>
    <w:p>
      <w:pPr>
        <w:spacing w:before="200" w:after="80"/>
      </w:pPr>
      <w:r>
        <w:rPr>
          <w:rFonts w:ascii="Calibri" w:hAnsi="Calibri" w:eastAsia="Calibri"/>
          <w:b/>
          <w:color w:val="1A5F8A"/>
          <w:sz w:val="24"/>
        </w:rPr>
        <w:t>Wave B — Employer depth &amp; system mocks (late September)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Command Center login, multi-manager split, clearer navy/blue UI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Mock source ingestion from iCIMS / ServiceNow / Jira-shaped data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Standalone mock apps for iCIMS, ServiceNow and Jira (so demos do not depend on real systems)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Role-aware employer views: HR / IT / Manager / Ops</w:t>
      </w:r>
    </w:p>
    <w:p>
      <w:pPr>
        <w:spacing w:before="200" w:after="80"/>
      </w:pPr>
      <w:r>
        <w:rPr>
          <w:rFonts w:ascii="Calibri" w:hAnsi="Calibri" w:eastAsia="Calibri"/>
          <w:b/>
          <w:color w:val="1A5F8A"/>
          <w:sz w:val="24"/>
        </w:rPr>
        <w:t>Wave C — Assistants: IRA and NIA (late September)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IRA as an independent desktop onboarding companion for the employee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IRA upgraded toward enterprise navigation (tools, access, “what should I do next?”)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NIA introduced on the employer side as the New-Hire Intelligence Assistant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Manager learning, resolve / “still needs help”, and dashboard polish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NIA HR onboarding cases: detect → plan → approve → route → chase → close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NIA for hiring managers: own to-dos, mentor / Day-1 / project actions, manager-voice messages</w:t>
      </w:r>
    </w:p>
    <w:p>
      <w:pPr>
        <w:spacing w:before="200" w:after="80"/>
      </w:pPr>
      <w:r>
        <w:rPr>
          <w:rFonts w:ascii="Calibri" w:hAnsi="Calibri" w:eastAsia="Calibri"/>
          <w:b/>
          <w:color w:val="1A5F8A"/>
          <w:sz w:val="24"/>
        </w:rPr>
        <w:t>Wave D — Employee clarity &amp; Waters story (late September)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People / team cleanup and skills on the employee side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“What is Waters?” interactive machine — science, technology, impact, world, people, you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Mock IT Help portal; IRA ticket drafts and clearer access guidance</w:t>
      </w:r>
    </w:p>
    <w:p>
      <w:pPr>
        <w:spacing w:before="200" w:after="80"/>
      </w:pPr>
      <w:r>
        <w:rPr>
          <w:rFonts w:ascii="Calibri" w:hAnsi="Calibri" w:eastAsia="Calibri"/>
          <w:b/>
          <w:color w:val="1A5F8A"/>
          <w:sz w:val="24"/>
        </w:rPr>
        <w:t>Wave E — Deep science experience (early October)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LC/MS as an explorable instrument (not only a diagram)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Playable “Become the sample” journey and teaching tracks for LC and MS</w:t>
      </w:r>
    </w:p>
    <w:p>
      <w:pPr>
        <w:spacing w:before="200" w:after="80"/>
      </w:pPr>
      <w:r>
        <w:rPr>
          <w:rFonts w:ascii="Calibri" w:hAnsi="Calibri" w:eastAsia="Calibri"/>
          <w:b/>
          <w:color w:val="1A5F8A"/>
          <w:sz w:val="24"/>
        </w:rPr>
        <w:t>Wave F — Connected enterprise &amp; trust (early–mid October)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Live “Simulate a new hire” in the Command Center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One offer followed through every mock system (connected enterprise simulation)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Grounded NIA and IRA: answers from approved sources, citations, Ops approval path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Knowledge gaps and answer feedback routed to owning teams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Pre-boarding / Day-1 portal; IRA access and ticket answers link the IT Service Portal</w:t>
      </w:r>
    </w:p>
    <w:p>
      <w:pPr>
        <w:spacing w:before="200" w:after="80"/>
      </w:pPr>
      <w:r>
        <w:rPr>
          <w:rFonts w:ascii="Calibri" w:hAnsi="Calibri" w:eastAsia="Calibri"/>
          <w:b/>
          <w:color w:val="1A5F8A"/>
          <w:sz w:val="24"/>
        </w:rPr>
        <w:t>Wave G — Phase 1 packaging for “What is Waters?” (mid October)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Decision to treat “What is Waters?” as a standalone, generic educational experience for Phase 1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No login / no employee database required for that slice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Confluence-ready overview written for stakeholders</w:t>
      </w:r>
    </w:p>
    <w:p>
      <w:pPr>
        <w:spacing w:before="320" w:after="120"/>
      </w:pPr>
      <w:r>
        <w:rPr>
          <w:rFonts w:ascii="Calibri" w:hAnsi="Calibri" w:eastAsia="Calibri"/>
          <w:b/>
          <w:color w:val="0B1B3A"/>
          <w:sz w:val="28"/>
        </w:rPr>
        <w:t>3. Feature map by audience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1B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4873"/>
            <w:shd w:fill="0B1B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What they get in the prototype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New joiner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Employee workspace, IRA companion, Day-1 guidance, What is Waters?, IT Help paths</w:t>
            </w:r>
          </w:p>
        </w:tc>
      </w:tr>
      <w:tr>
        <w:tc>
          <w:tcPr>
            <w:tcW w:type="dxa" w:w="4873"/>
            <w:shd w:fill="F3F6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Hiring manager</w:t>
            </w:r>
          </w:p>
        </w:tc>
        <w:tc>
          <w:tcPr>
            <w:tcW w:type="dxa" w:w="4873"/>
            <w:shd w:fill="F3F6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Role-aware Command Center, NIA actions, mentor / Day-1 / project prompts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Onboarding cases, chase/close loop, visibility across joiners</w:t>
            </w:r>
          </w:p>
        </w:tc>
      </w:tr>
      <w:tr>
        <w:tc>
          <w:tcPr>
            <w:tcW w:type="dxa" w:w="4873"/>
            <w:shd w:fill="F3F6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IT / Ops</w:t>
            </w:r>
          </w:p>
        </w:tc>
        <w:tc>
          <w:tcPr>
            <w:tcW w:type="dxa" w:w="4873"/>
            <w:shd w:fill="F3F6FB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Access &amp; ticket context, knowledge gaps, grounded-answer approval path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Leadership / demo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End-to-end story from offer → systems → employee → employer intelligence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color w:val="0B1B3A"/>
          <w:sz w:val="28"/>
        </w:rPr>
        <w:t>4. What we deliberately left out (for now)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Live production connectors to real Waters systems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Real employee identity and personal data in the “You” chapter of What is Waters?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sz w:val="22"/>
        </w:rPr>
        <w:t>Full enterprise SSO / hosting hardening (can sit in front later without redesigning the experience)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sz w:val="22"/>
        </w:rPr>
        <w:t>Those are intentional boundaries so the prototype stays demoable and safe while the product direction is validated.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