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libri" w:hAnsi="Calibri" w:eastAsia="Calibri"/>
          <w:b/>
          <w:color w:val="0B1B3A"/>
          <w:sz w:val="44"/>
        </w:rPr>
        <w:t>SmartStart</w:t>
      </w:r>
    </w:p>
    <w:p>
      <w:pPr>
        <w:spacing w:before="200" w:after="80"/>
      </w:pPr>
      <w:r>
        <w:rPr>
          <w:rFonts w:ascii="Calibri" w:hAnsi="Calibri" w:eastAsia="Calibri"/>
          <w:b/>
          <w:color w:val="1A5F8A"/>
          <w:sz w:val="24"/>
        </w:rPr>
        <w:t>Timeline to submit to manager</w:t>
      </w:r>
    </w:p>
    <w:p>
      <w:pPr>
        <w:spacing w:after="40"/>
      </w:pPr>
      <w:r>
        <w:rPr>
          <w:rFonts w:ascii="Calibri" w:hAnsi="Calibri" w:eastAsia="Calibri"/>
          <w:b w:val="0"/>
          <w:color w:val="4A5568"/>
          <w:sz w:val="20"/>
        </w:rPr>
        <w:t>Document type: Submission plan</w:t>
      </w:r>
    </w:p>
    <w:p>
      <w:pPr>
        <w:spacing w:after="40"/>
      </w:pPr>
      <w:r>
        <w:rPr>
          <w:rFonts w:ascii="Calibri" w:hAnsi="Calibri" w:eastAsia="Calibri"/>
          <w:b w:val="0"/>
          <w:color w:val="4A5568"/>
          <w:sz w:val="20"/>
        </w:rPr>
        <w:t>Audience: Manager review / formal handoff</w:t>
      </w:r>
    </w:p>
    <w:p>
      <w:pPr>
        <w:spacing w:after="40"/>
      </w:pPr>
      <w:r>
        <w:rPr>
          <w:rFonts w:ascii="Calibri" w:hAnsi="Calibri" w:eastAsia="Calibri"/>
          <w:b w:val="0"/>
          <w:color w:val="4A5568"/>
          <w:sz w:val="20"/>
        </w:rPr>
        <w:t>Prepared: 23 October 2026</w:t>
      </w:r>
    </w:p>
    <w:p>
      <w:pPr>
        <w:spacing w:after="40"/>
      </w:pPr>
      <w:r>
        <w:rPr>
          <w:rFonts w:ascii="Calibri" w:hAnsi="Calibri" w:eastAsia="Calibri"/>
          <w:b w:val="0"/>
          <w:color w:val="4A5568"/>
          <w:sz w:val="20"/>
        </w:rPr>
        <w:t>Recommended submission window: week of 27 October – 7 November 2026</w:t>
      </w:r>
    </w:p>
    <w:p/>
    <w:p>
      <w:pPr>
        <w:spacing w:before="320" w:after="120"/>
      </w:pPr>
      <w:r>
        <w:rPr>
          <w:rFonts w:ascii="Calibri" w:hAnsi="Calibri" w:eastAsia="Calibri"/>
          <w:b/>
          <w:color w:val="0B1B3A"/>
          <w:sz w:val="28"/>
        </w:rPr>
        <w:t>1. Purpose of this timeline</w:t>
      </w:r>
    </w:p>
    <w:p>
      <w:pPr>
        <w:spacing w:after="120" w:line="276" w:lineRule="auto"/>
      </w:pPr>
      <w:r>
        <w:rPr>
          <w:rFonts w:ascii="Calibri" w:hAnsi="Calibri" w:eastAsia="Calibri"/>
          <w:b w:val="0"/>
          <w:i w:val="0"/>
          <w:sz w:val="22"/>
        </w:rPr>
        <w:t>This is a practical plan for packaging the prototype and walking a manager through it — what to show, what to send ahead, and when. Dates below are suggested working dates from 23 October 2026 onward. Adjust if your manager’s calendar needs a different slot.</w:t>
      </w:r>
    </w:p>
    <w:p>
      <w:pPr>
        <w:spacing w:before="320" w:after="120"/>
      </w:pPr>
      <w:r>
        <w:rPr>
          <w:rFonts w:ascii="Calibri" w:hAnsi="Calibri" w:eastAsia="Calibri"/>
          <w:b/>
          <w:color w:val="0B1B3A"/>
          <w:sz w:val="28"/>
        </w:rPr>
        <w:t>2. Recommended submission pack</w:t>
      </w:r>
    </w:p>
    <w:p>
      <w:pPr>
        <w:spacing w:after="120" w:line="276" w:lineRule="auto"/>
      </w:pPr>
      <w:r>
        <w:rPr>
          <w:rFonts w:ascii="Calibri" w:hAnsi="Calibri" w:eastAsia="Calibri"/>
          <w:b w:val="0"/>
          <w:i w:val="0"/>
          <w:sz w:val="22"/>
        </w:rPr>
        <w:t>Send these together (this folder covers the first three):</w:t>
      </w:r>
    </w:p>
    <w:p>
      <w:pPr>
        <w:pStyle w:val="ListBullet"/>
        <w:spacing w:after="60"/>
        <w:ind w:left="425"/>
      </w:pPr>
      <w:r>
        <w:rPr>
          <w:rFonts w:ascii="Calibri" w:hAnsi="Calibri" w:eastAsia="Calibri"/>
          <w:b w:val="0"/>
          <w:sz w:val="22"/>
        </w:rPr>
        <w:t>01 — How we started (origin &amp; intent)</w:t>
      </w:r>
    </w:p>
    <w:p>
      <w:pPr>
        <w:pStyle w:val="ListBullet"/>
        <w:spacing w:after="60"/>
        <w:ind w:left="425"/>
      </w:pPr>
      <w:r>
        <w:rPr>
          <w:rFonts w:ascii="Calibri" w:hAnsi="Calibri" w:eastAsia="Calibri"/>
          <w:b w:val="0"/>
          <w:sz w:val="22"/>
        </w:rPr>
        <w:t>02 — How features were added (build history)</w:t>
      </w:r>
    </w:p>
    <w:p>
      <w:pPr>
        <w:pStyle w:val="ListBullet"/>
        <w:spacing w:after="60"/>
        <w:ind w:left="425"/>
      </w:pPr>
      <w:r>
        <w:rPr>
          <w:rFonts w:ascii="Calibri" w:hAnsi="Calibri" w:eastAsia="Calibri"/>
          <w:b w:val="0"/>
          <w:sz w:val="22"/>
        </w:rPr>
        <w:t>03 — This timeline + ask</w:t>
      </w:r>
    </w:p>
    <w:p>
      <w:pPr>
        <w:pStyle w:val="ListBullet"/>
        <w:spacing w:after="60"/>
        <w:ind w:left="425"/>
      </w:pPr>
      <w:r>
        <w:rPr>
          <w:rFonts w:ascii="Calibri" w:hAnsi="Calibri" w:eastAsia="Calibri"/>
          <w:b w:val="0"/>
          <w:sz w:val="22"/>
        </w:rPr>
        <w:t>Optional: Confluence page export for “What is Waters?” Phase 1</w:t>
      </w:r>
    </w:p>
    <w:p>
      <w:pPr>
        <w:pStyle w:val="ListBullet"/>
        <w:spacing w:after="60"/>
        <w:ind w:left="425"/>
      </w:pPr>
      <w:r>
        <w:rPr>
          <w:rFonts w:ascii="Calibri" w:hAnsi="Calibri" w:eastAsia="Calibri"/>
          <w:b w:val="0"/>
          <w:sz w:val="22"/>
        </w:rPr>
        <w:t>Optional: 8–10 minute demo script (employee side or employer side — pick one primary path)</w:t>
      </w:r>
    </w:p>
    <w:p>
      <w:pPr>
        <w:pStyle w:val="ListBullet"/>
        <w:spacing w:after="60"/>
        <w:ind w:left="425"/>
      </w:pPr>
      <w:r>
        <w:rPr>
          <w:rFonts w:ascii="Calibri" w:hAnsi="Calibri" w:eastAsia="Calibri"/>
          <w:b w:val="0"/>
          <w:sz w:val="22"/>
        </w:rPr>
        <w:t>Optional: Architecture one-pager / screenshot appendix</w:t>
      </w:r>
    </w:p>
    <w:p>
      <w:pPr>
        <w:spacing w:before="320" w:after="120"/>
      </w:pPr>
      <w:r>
        <w:rPr>
          <w:rFonts w:ascii="Calibri" w:hAnsi="Calibri" w:eastAsia="Calibri"/>
          <w:b/>
          <w:color w:val="0B1B3A"/>
          <w:sz w:val="28"/>
        </w:rPr>
        <w:t>3. Week-by-week plan</w:t>
      </w:r>
    </w:p>
    <w:tbl>
      <w:tblPr>
        <w:tblStyle w:val="TableGrid"/>
        <w:tblW w:type="auto" w:w="0"/>
        <w:tblLook w:firstColumn="1" w:firstRow="1" w:lastColumn="0" w:lastRow="0" w:noHBand="0" w:noVBand="1" w:val="04A0"/>
      </w:tblPr>
      <w:tblGrid>
        <w:gridCol w:w="3249"/>
        <w:gridCol w:w="3249"/>
        <w:gridCol w:w="3249"/>
      </w:tblGrid>
      <w:tr>
        <w:tc>
          <w:tcPr>
            <w:tcW w:type="dxa" w:w="3249"/>
            <w:shd w:fill="0B1B3A" w:val="clear"/>
          </w:tcPr>
          <w:p>
            <w:r/>
            <w:r>
              <w:rPr>
                <w:rFonts w:ascii="Calibri" w:hAnsi="Calibri" w:eastAsia="Calibri"/>
                <w:b/>
                <w:color w:val="FFFFFF"/>
                <w:sz w:val="20"/>
              </w:rPr>
              <w:t>When</w:t>
            </w:r>
          </w:p>
        </w:tc>
        <w:tc>
          <w:tcPr>
            <w:tcW w:type="dxa" w:w="3249"/>
            <w:shd w:fill="0B1B3A" w:val="clear"/>
          </w:tcPr>
          <w:p>
            <w:r/>
            <w:r>
              <w:rPr>
                <w:rFonts w:ascii="Calibri" w:hAnsi="Calibri" w:eastAsia="Calibri"/>
                <w:b/>
                <w:color w:val="FFFFFF"/>
                <w:sz w:val="20"/>
              </w:rPr>
              <w:t>What to do</w:t>
            </w:r>
          </w:p>
        </w:tc>
        <w:tc>
          <w:tcPr>
            <w:tcW w:type="dxa" w:w="3249"/>
            <w:shd w:fill="0B1B3A" w:val="clear"/>
          </w:tcPr>
          <w:p>
            <w:r/>
            <w:r>
              <w:rPr>
                <w:rFonts w:ascii="Calibri" w:hAnsi="Calibri" w:eastAsia="Calibri"/>
                <w:b/>
                <w:color w:val="FFFFFF"/>
                <w:sz w:val="20"/>
              </w:rPr>
              <w:t>Output</w:t>
            </w:r>
          </w:p>
        </w:tc>
      </w:tr>
      <w:tr>
        <w:tc>
          <w:tcPr>
            <w:tcW w:type="dxa" w:w="3249"/>
          </w:tcPr>
          <w:p>
            <w:r/>
            <w:r>
              <w:rPr>
                <w:rFonts w:ascii="Calibri" w:hAnsi="Calibri" w:eastAsia="Calibri"/>
                <w:b w:val="0"/>
                <w:sz w:val="20"/>
              </w:rPr>
              <w:t>Thu 23 Oct</w:t>
              <w:br/>
              <w:t>(today)</w:t>
            </w:r>
          </w:p>
        </w:tc>
        <w:tc>
          <w:tcPr>
            <w:tcW w:type="dxa" w:w="3249"/>
          </w:tcPr>
          <w:p>
            <w:r/>
            <w:r>
              <w:rPr>
                <w:rFonts w:ascii="Calibri" w:hAnsi="Calibri" w:eastAsia="Calibri"/>
                <w:b w:val="0"/>
                <w:sz w:val="20"/>
              </w:rPr>
              <w:t>Freeze the story for submission. Decide the primary demo path: Employee+IRA or Employer+NIA (recommend one as main, the other as backup).</w:t>
            </w:r>
          </w:p>
        </w:tc>
        <w:tc>
          <w:tcPr>
            <w:tcW w:type="dxa" w:w="3249"/>
          </w:tcPr>
          <w:p>
            <w:r/>
            <w:r>
              <w:rPr>
                <w:rFonts w:ascii="Calibri" w:hAnsi="Calibri" w:eastAsia="Calibri"/>
                <w:b w:val="0"/>
                <w:sz w:val="20"/>
              </w:rPr>
              <w:t>One-sentence demo goal</w:t>
            </w:r>
          </w:p>
        </w:tc>
      </w:tr>
      <w:tr>
        <w:tc>
          <w:tcPr>
            <w:tcW w:type="dxa" w:w="3249"/>
            <w:shd w:fill="F3F6FB" w:val="clear"/>
          </w:tcPr>
          <w:p>
            <w:r/>
            <w:r>
              <w:rPr>
                <w:rFonts w:ascii="Calibri" w:hAnsi="Calibri" w:eastAsia="Calibri"/>
                <w:b w:val="0"/>
                <w:sz w:val="20"/>
              </w:rPr>
              <w:t>Fri 24 Oct</w:t>
            </w:r>
          </w:p>
        </w:tc>
        <w:tc>
          <w:tcPr>
            <w:tcW w:type="dxa" w:w="3249"/>
            <w:shd w:fill="F3F6FB" w:val="clear"/>
          </w:tcPr>
          <w:p>
            <w:r/>
            <w:r>
              <w:rPr>
                <w:rFonts w:ascii="Calibri" w:hAnsi="Calibri" w:eastAsia="Calibri"/>
                <w:b w:val="0"/>
                <w:sz w:val="20"/>
              </w:rPr>
              <w:t>Clean demo data. Walk the happy path once end-to-end. Capture 6–8 screenshots (Command Center, IRA, What is Waters?, NIA case).</w:t>
            </w:r>
          </w:p>
        </w:tc>
        <w:tc>
          <w:tcPr>
            <w:tcW w:type="dxa" w:w="3249"/>
            <w:shd w:fill="F3F6FB" w:val="clear"/>
          </w:tcPr>
          <w:p>
            <w:r/>
            <w:r>
              <w:rPr>
                <w:rFonts w:ascii="Calibri" w:hAnsi="Calibri" w:eastAsia="Calibri"/>
                <w:b w:val="0"/>
                <w:sz w:val="20"/>
              </w:rPr>
              <w:t>Screenshot appendix</w:t>
            </w:r>
          </w:p>
        </w:tc>
      </w:tr>
      <w:tr>
        <w:tc>
          <w:tcPr>
            <w:tcW w:type="dxa" w:w="3249"/>
          </w:tcPr>
          <w:p>
            <w:r/>
            <w:r>
              <w:rPr>
                <w:rFonts w:ascii="Calibri" w:hAnsi="Calibri" w:eastAsia="Calibri"/>
                <w:b w:val="0"/>
                <w:sz w:val="20"/>
              </w:rPr>
              <w:t>Mon 27 Oct</w:t>
            </w:r>
          </w:p>
        </w:tc>
        <w:tc>
          <w:tcPr>
            <w:tcW w:type="dxa" w:w="3249"/>
          </w:tcPr>
          <w:p>
            <w:r/>
            <w:r>
              <w:rPr>
                <w:rFonts w:ascii="Calibri" w:hAnsi="Calibri" w:eastAsia="Calibri"/>
                <w:b w:val="0"/>
                <w:sz w:val="20"/>
              </w:rPr>
              <w:t>Send the Word pack + Confluence link/PDF to your manager with a short note (template below). Offer two meeting slots.</w:t>
            </w:r>
          </w:p>
        </w:tc>
        <w:tc>
          <w:tcPr>
            <w:tcW w:type="dxa" w:w="3249"/>
          </w:tcPr>
          <w:p>
            <w:r/>
            <w:r>
              <w:rPr>
                <w:rFonts w:ascii="Calibri" w:hAnsi="Calibri" w:eastAsia="Calibri"/>
                <w:b w:val="0"/>
                <w:sz w:val="20"/>
              </w:rPr>
              <w:t>Email + documents</w:t>
            </w:r>
          </w:p>
        </w:tc>
      </w:tr>
      <w:tr>
        <w:tc>
          <w:tcPr>
            <w:tcW w:type="dxa" w:w="3249"/>
            <w:shd w:fill="F3F6FB" w:val="clear"/>
          </w:tcPr>
          <w:p>
            <w:r/>
            <w:r>
              <w:rPr>
                <w:rFonts w:ascii="Calibri" w:hAnsi="Calibri" w:eastAsia="Calibri"/>
                <w:b w:val="0"/>
                <w:sz w:val="20"/>
              </w:rPr>
              <w:t>Tue 28–Thu 30 Oct</w:t>
            </w:r>
          </w:p>
        </w:tc>
        <w:tc>
          <w:tcPr>
            <w:tcW w:type="dxa" w:w="3249"/>
            <w:shd w:fill="F3F6FB" w:val="clear"/>
          </w:tcPr>
          <w:p>
            <w:r/>
            <w:r>
              <w:rPr>
                <w:rFonts w:ascii="Calibri" w:hAnsi="Calibri" w:eastAsia="Calibri"/>
                <w:b w:val="0"/>
                <w:sz w:val="20"/>
              </w:rPr>
              <w:t>Live walkthrough (30–40 min). 10 min context, 15–20 min demo, 10 min discussion on Phase 1 ask.</w:t>
            </w:r>
          </w:p>
        </w:tc>
        <w:tc>
          <w:tcPr>
            <w:tcW w:type="dxa" w:w="3249"/>
            <w:shd w:fill="F3F6FB" w:val="clear"/>
          </w:tcPr>
          <w:p>
            <w:r/>
            <w:r>
              <w:rPr>
                <w:rFonts w:ascii="Calibri" w:hAnsi="Calibri" w:eastAsia="Calibri"/>
                <w:b w:val="0"/>
                <w:sz w:val="20"/>
              </w:rPr>
              <w:t>Manager feedback notes</w:t>
            </w:r>
          </w:p>
        </w:tc>
      </w:tr>
      <w:tr>
        <w:tc>
          <w:tcPr>
            <w:tcW w:type="dxa" w:w="3249"/>
          </w:tcPr>
          <w:p>
            <w:r/>
            <w:r>
              <w:rPr>
                <w:rFonts w:ascii="Calibri" w:hAnsi="Calibri" w:eastAsia="Calibri"/>
                <w:b w:val="0"/>
                <w:sz w:val="20"/>
              </w:rPr>
              <w:t>Fri 31 Oct</w:t>
            </w:r>
          </w:p>
        </w:tc>
        <w:tc>
          <w:tcPr>
            <w:tcW w:type="dxa" w:w="3249"/>
          </w:tcPr>
          <w:p>
            <w:r/>
            <w:r>
              <w:rPr>
                <w:rFonts w:ascii="Calibri" w:hAnsi="Calibri" w:eastAsia="Calibri"/>
                <w:b w:val="0"/>
                <w:sz w:val="20"/>
              </w:rPr>
              <w:t>Write back decisions: what to keep, what to cut, what Phase 1 is (e.g. standalone What is Waters? vs broader SmartStart).</w:t>
            </w:r>
          </w:p>
        </w:tc>
        <w:tc>
          <w:tcPr>
            <w:tcW w:type="dxa" w:w="3249"/>
          </w:tcPr>
          <w:p>
            <w:r/>
            <w:r>
              <w:rPr>
                <w:rFonts w:ascii="Calibri" w:hAnsi="Calibri" w:eastAsia="Calibri"/>
                <w:b w:val="0"/>
                <w:sz w:val="20"/>
              </w:rPr>
              <w:t>Decision note</w:t>
            </w:r>
          </w:p>
        </w:tc>
      </w:tr>
      <w:tr>
        <w:tc>
          <w:tcPr>
            <w:tcW w:type="dxa" w:w="3249"/>
            <w:shd w:fill="F3F6FB" w:val="clear"/>
          </w:tcPr>
          <w:p>
            <w:r/>
            <w:r>
              <w:rPr>
                <w:rFonts w:ascii="Calibri" w:hAnsi="Calibri" w:eastAsia="Calibri"/>
                <w:b w:val="0"/>
                <w:sz w:val="20"/>
              </w:rPr>
              <w:t>Mon 3–Fri 7 Nov</w:t>
            </w:r>
          </w:p>
        </w:tc>
        <w:tc>
          <w:tcPr>
            <w:tcW w:type="dxa" w:w="3249"/>
            <w:shd w:fill="F3F6FB" w:val="clear"/>
          </w:tcPr>
          <w:p>
            <w:r/>
            <w:r>
              <w:rPr>
                <w:rFonts w:ascii="Calibri" w:hAnsi="Calibri" w:eastAsia="Calibri"/>
                <w:b w:val="0"/>
                <w:sz w:val="20"/>
              </w:rPr>
              <w:t>If approved: package Phase 1 scope, owners, and next engineering/hosting steps. If changes requested: one revision cycle, then re-demo.</w:t>
            </w:r>
          </w:p>
        </w:tc>
        <w:tc>
          <w:tcPr>
            <w:tcW w:type="dxa" w:w="3249"/>
            <w:shd w:fill="F3F6FB" w:val="clear"/>
          </w:tcPr>
          <w:p>
            <w:r/>
            <w:r>
              <w:rPr>
                <w:rFonts w:ascii="Calibri" w:hAnsi="Calibri" w:eastAsia="Calibri"/>
                <w:b w:val="0"/>
                <w:sz w:val="20"/>
              </w:rPr>
              <w:t>Phase 1 brief</w:t>
            </w:r>
          </w:p>
        </w:tc>
      </w:tr>
    </w:tbl>
    <w:p/>
    <w:p>
      <w:pPr>
        <w:spacing w:before="320" w:after="120"/>
      </w:pPr>
      <w:r>
        <w:rPr>
          <w:rFonts w:ascii="Calibri" w:hAnsi="Calibri" w:eastAsia="Calibri"/>
          <w:b/>
          <w:color w:val="0B1B3A"/>
          <w:sz w:val="28"/>
        </w:rPr>
        <w:t>4. Suggested 30–40 minute agenda</w:t>
      </w:r>
    </w:p>
    <w:p>
      <w:pPr>
        <w:pStyle w:val="ListBullet"/>
        <w:spacing w:after="60"/>
        <w:ind w:left="425"/>
      </w:pPr>
      <w:r>
        <w:rPr>
          <w:rFonts w:ascii="Calibri" w:hAnsi="Calibri" w:eastAsia="Calibri"/>
          <w:b w:val="0"/>
          <w:sz w:val="22"/>
        </w:rPr>
        <w:t>0–5 min — Problem and why we built a prototype</w:t>
      </w:r>
    </w:p>
    <w:p>
      <w:pPr>
        <w:pStyle w:val="ListBullet"/>
        <w:spacing w:after="60"/>
        <w:ind w:left="425"/>
      </w:pPr>
      <w:r>
        <w:rPr>
          <w:rFonts w:ascii="Calibri" w:hAnsi="Calibri" w:eastAsia="Calibri"/>
          <w:b w:val="0"/>
          <w:sz w:val="22"/>
        </w:rPr>
        <w:t>5–15 min — Employee path: joiner lands → IRA → What is Waters? / Day-1</w:t>
      </w:r>
    </w:p>
    <w:p>
      <w:pPr>
        <w:pStyle w:val="ListBullet"/>
        <w:spacing w:after="60"/>
        <w:ind w:left="425"/>
      </w:pPr>
      <w:r>
        <w:rPr>
          <w:rFonts w:ascii="Calibri" w:hAnsi="Calibri" w:eastAsia="Calibri"/>
          <w:b w:val="0"/>
          <w:sz w:val="22"/>
        </w:rPr>
        <w:t>15–25 min — Employer path: Command Center → NIA case → role-aware actions</w:t>
      </w:r>
    </w:p>
    <w:p>
      <w:pPr>
        <w:pStyle w:val="ListBullet"/>
        <w:spacing w:after="60"/>
        <w:ind w:left="425"/>
      </w:pPr>
      <w:r>
        <w:rPr>
          <w:rFonts w:ascii="Calibri" w:hAnsi="Calibri" w:eastAsia="Calibri"/>
          <w:b w:val="0"/>
          <w:sz w:val="22"/>
        </w:rPr>
        <w:t>25–30 min — Trust &amp; boundaries: grounded answers, knowledge gaps, no live PII</w:t>
      </w:r>
    </w:p>
    <w:p>
      <w:pPr>
        <w:pStyle w:val="ListBullet"/>
        <w:spacing w:after="60"/>
        <w:ind w:left="425"/>
      </w:pPr>
      <w:r>
        <w:rPr>
          <w:rFonts w:ascii="Calibri" w:hAnsi="Calibri" w:eastAsia="Calibri"/>
          <w:b w:val="0"/>
          <w:sz w:val="22"/>
        </w:rPr>
        <w:t>30–40 min — Ask: endorse Phase 1 direction + who else should see it</w:t>
      </w:r>
    </w:p>
    <w:p>
      <w:pPr>
        <w:spacing w:before="320" w:after="120"/>
      </w:pPr>
      <w:r>
        <w:rPr>
          <w:rFonts w:ascii="Calibri" w:hAnsi="Calibri" w:eastAsia="Calibri"/>
          <w:b/>
          <w:color w:val="0B1B3A"/>
          <w:sz w:val="28"/>
        </w:rPr>
        <w:t>5. The ask (keep this short in the meeting)</w:t>
      </w:r>
    </w:p>
    <w:p>
      <w:pPr>
        <w:spacing w:after="120" w:line="276" w:lineRule="auto"/>
      </w:pPr>
      <w:r>
        <w:rPr>
          <w:rFonts w:ascii="Calibri" w:hAnsi="Calibri" w:eastAsia="Calibri"/>
          <w:b w:val="0"/>
          <w:i w:val="0"/>
          <w:sz w:val="22"/>
        </w:rPr>
        <w:t>We are not asking for a full production build yet. We are asking for:</w:t>
      </w:r>
    </w:p>
    <w:p>
      <w:pPr>
        <w:pStyle w:val="ListBullet"/>
        <w:spacing w:after="60"/>
        <w:ind w:left="425"/>
      </w:pPr>
      <w:r>
        <w:rPr>
          <w:rFonts w:ascii="Calibri" w:hAnsi="Calibri" w:eastAsia="Calibri"/>
          <w:b w:val="0"/>
          <w:sz w:val="22"/>
        </w:rPr>
        <w:t>Agreement that the problem framing is right</w:t>
      </w:r>
    </w:p>
    <w:p>
      <w:pPr>
        <w:pStyle w:val="ListBullet"/>
        <w:spacing w:after="60"/>
        <w:ind w:left="425"/>
      </w:pPr>
      <w:r>
        <w:rPr>
          <w:rFonts w:ascii="Calibri" w:hAnsi="Calibri" w:eastAsia="Calibri"/>
          <w:b w:val="0"/>
          <w:sz w:val="22"/>
        </w:rPr>
        <w:t>A Phase 1 recommendation — for example, “What is Waters?” as a standalone educational experience hosted for Waters employees</w:t>
      </w:r>
    </w:p>
    <w:p>
      <w:pPr>
        <w:pStyle w:val="ListBullet"/>
        <w:spacing w:after="60"/>
        <w:ind w:left="425"/>
      </w:pPr>
      <w:r>
        <w:rPr>
          <w:rFonts w:ascii="Calibri" w:hAnsi="Calibri" w:eastAsia="Calibri"/>
          <w:b w:val="0"/>
          <w:sz w:val="22"/>
        </w:rPr>
        <w:t>Named stakeholders for a second demo (HR / IT / Ops / Communications as relevant)</w:t>
      </w:r>
    </w:p>
    <w:p>
      <w:pPr>
        <w:pStyle w:val="ListBullet"/>
        <w:spacing w:after="60"/>
        <w:ind w:left="425"/>
      </w:pPr>
      <w:r>
        <w:rPr>
          <w:rFonts w:ascii="Calibri" w:hAnsi="Calibri" w:eastAsia="Calibri"/>
          <w:b w:val="0"/>
          <w:sz w:val="22"/>
        </w:rPr>
        <w:t>Guidance on what must be true before any wider rollout conversation</w:t>
      </w:r>
    </w:p>
    <w:p>
      <w:pPr>
        <w:spacing w:before="320" w:after="120"/>
      </w:pPr>
      <w:r>
        <w:rPr>
          <w:rFonts w:ascii="Calibri" w:hAnsi="Calibri" w:eastAsia="Calibri"/>
          <w:b/>
          <w:color w:val="0B1B3A"/>
          <w:sz w:val="28"/>
        </w:rPr>
        <w:t>6. Email note you can copy</w:t>
      </w:r>
    </w:p>
    <w:p>
      <w:pPr>
        <w:spacing w:after="120" w:line="276" w:lineRule="auto"/>
      </w:pPr>
      <w:r>
        <w:rPr>
          <w:rFonts w:ascii="Calibri" w:hAnsi="Calibri" w:eastAsia="Calibri"/>
          <w:b w:val="0"/>
          <w:i/>
          <w:sz w:val="22"/>
        </w:rPr>
        <w:t>Subject: SmartStart prototype — overview pack + walkthrough request</w:t>
      </w:r>
    </w:p>
    <w:p>
      <w:pPr>
        <w:spacing w:after="120" w:line="276" w:lineRule="auto"/>
      </w:pPr>
      <w:r>
        <w:rPr>
          <w:rFonts w:ascii="Calibri" w:hAnsi="Calibri" w:eastAsia="Calibri"/>
          <w:b w:val="0"/>
          <w:i w:val="0"/>
          <w:sz w:val="22"/>
        </w:rPr>
        <w:t>Hi [Manager name],</w:t>
      </w:r>
    </w:p>
    <w:p>
      <w:pPr>
        <w:spacing w:after="120" w:line="276" w:lineRule="auto"/>
      </w:pPr>
      <w:r>
        <w:rPr>
          <w:rFonts w:ascii="Calibri" w:hAnsi="Calibri" w:eastAsia="Calibri"/>
          <w:b w:val="0"/>
          <w:i w:val="0"/>
          <w:sz w:val="22"/>
        </w:rPr>
        <w:t>Sharing a short pack on the SmartStart prototype: how we started, how features were added, and a proposed timeline for a walkthrough.</w:t>
      </w:r>
    </w:p>
    <w:p>
      <w:pPr>
        <w:spacing w:after="120" w:line="276" w:lineRule="auto"/>
      </w:pPr>
      <w:r>
        <w:rPr>
          <w:rFonts w:ascii="Calibri" w:hAnsi="Calibri" w:eastAsia="Calibri"/>
          <w:b w:val="0"/>
          <w:i w:val="0"/>
          <w:sz w:val="22"/>
        </w:rPr>
        <w:t>SmartStart is a working prototype that connects the new-joiner experience (with IRA) and the employer Command Center (with NIA), plus an interactive “What is Waters?” introduction. It uses synthetic data and mock systems so we can demo the full journey safely.</w:t>
      </w:r>
    </w:p>
    <w:p>
      <w:pPr>
        <w:spacing w:after="120" w:line="276" w:lineRule="auto"/>
      </w:pPr>
      <w:r>
        <w:rPr>
          <w:rFonts w:ascii="Calibri" w:hAnsi="Calibri" w:eastAsia="Calibri"/>
          <w:b w:val="0"/>
          <w:i w:val="0"/>
          <w:sz w:val="22"/>
        </w:rPr>
        <w:t>Could we book 30–40 minutes next week for a live walkthrough? I can do [Slot A] or [Slot B]. Happy to send a shorter employee-only or employer-only version if you prefer.</w:t>
      </w:r>
    </w:p>
    <w:p>
      <w:pPr>
        <w:spacing w:after="120" w:line="276" w:lineRule="auto"/>
      </w:pPr>
      <w:r>
        <w:rPr>
          <w:rFonts w:ascii="Calibri" w:hAnsi="Calibri" w:eastAsia="Calibri"/>
          <w:b w:val="0"/>
          <w:i w:val="0"/>
          <w:sz w:val="22"/>
        </w:rPr>
        <w:t>Thanks,</w:t>
        <w:br/>
        <w:t>[Your name]</w:t>
      </w:r>
    </w:p>
    <w:p>
      <w:pPr>
        <w:spacing w:before="320" w:after="120"/>
      </w:pPr>
      <w:r>
        <w:rPr>
          <w:rFonts w:ascii="Calibri" w:hAnsi="Calibri" w:eastAsia="Calibri"/>
          <w:b/>
          <w:color w:val="0B1B3A"/>
          <w:sz w:val="28"/>
        </w:rPr>
        <w:t>7. Risks / things to say upfront</w:t>
      </w:r>
    </w:p>
    <w:p>
      <w:pPr>
        <w:pStyle w:val="ListBullet"/>
        <w:spacing w:after="60"/>
        <w:ind w:left="425"/>
      </w:pPr>
      <w:r>
        <w:rPr>
          <w:rFonts w:ascii="Calibri" w:hAnsi="Calibri" w:eastAsia="Calibri"/>
          <w:b w:val="0"/>
          <w:sz w:val="22"/>
        </w:rPr>
        <w:t>This is a prototype — UI and integrations are illustrative.</w:t>
      </w:r>
    </w:p>
    <w:p>
      <w:pPr>
        <w:pStyle w:val="ListBullet"/>
        <w:spacing w:after="60"/>
        <w:ind w:left="425"/>
      </w:pPr>
      <w:r>
        <w:rPr>
          <w:rFonts w:ascii="Calibri" w:hAnsi="Calibri" w:eastAsia="Calibri"/>
          <w:b w:val="0"/>
          <w:sz w:val="22"/>
        </w:rPr>
        <w:t>No real employee personal data is required for the Phase 1 “What is Waters?” direction.</w:t>
      </w:r>
    </w:p>
    <w:p>
      <w:pPr>
        <w:pStyle w:val="ListBullet"/>
        <w:spacing w:after="60"/>
        <w:ind w:left="425"/>
      </w:pPr>
      <w:r>
        <w:rPr>
          <w:rFonts w:ascii="Calibri" w:hAnsi="Calibri" w:eastAsia="Calibri"/>
          <w:b w:val="0"/>
          <w:sz w:val="22"/>
        </w:rPr>
        <w:t>Production hosting, SSO and real system connectors are a later step if Phase 1 is endorsed.</w:t>
      </w:r>
    </w:p>
    <w:p>
      <w:pPr>
        <w:spacing w:before="320" w:after="120"/>
      </w:pPr>
      <w:r>
        <w:rPr>
          <w:rFonts w:ascii="Calibri" w:hAnsi="Calibri" w:eastAsia="Calibri"/>
          <w:b/>
          <w:color w:val="0B1B3A"/>
          <w:sz w:val="28"/>
        </w:rPr>
        <w:t>8. Milestone checklist before you hit send</w:t>
      </w:r>
    </w:p>
    <w:tbl>
      <w:tblPr>
        <w:tblStyle w:val="TableGrid"/>
        <w:tblW w:type="auto" w:w="0"/>
        <w:tblLook w:firstColumn="1" w:firstRow="1" w:lastColumn="0" w:lastRow="0" w:noHBand="0" w:noVBand="1" w:val="04A0"/>
      </w:tblPr>
      <w:tblGrid>
        <w:gridCol w:w="4873"/>
        <w:gridCol w:w="4873"/>
      </w:tblGrid>
      <w:tr>
        <w:tc>
          <w:tcPr>
            <w:tcW w:type="dxa" w:w="4873"/>
            <w:shd w:fill="0B1B3A" w:val="clear"/>
          </w:tcPr>
          <w:p>
            <w:r/>
            <w:r>
              <w:rPr>
                <w:rFonts w:ascii="Calibri" w:hAnsi="Calibri" w:eastAsia="Calibri"/>
                <w:b/>
                <w:color w:val="FFFFFF"/>
                <w:sz w:val="20"/>
              </w:rPr>
              <w:t>Check</w:t>
            </w:r>
          </w:p>
        </w:tc>
        <w:tc>
          <w:tcPr>
            <w:tcW w:type="dxa" w:w="4873"/>
            <w:shd w:fill="0B1B3A" w:val="clear"/>
          </w:tcPr>
          <w:p>
            <w:r/>
            <w:r>
              <w:rPr>
                <w:rFonts w:ascii="Calibri" w:hAnsi="Calibri" w:eastAsia="Calibri"/>
                <w:b/>
                <w:color w:val="FFFFFF"/>
                <w:sz w:val="20"/>
              </w:rPr>
              <w:t>Done?</w:t>
            </w:r>
          </w:p>
        </w:tc>
      </w:tr>
      <w:tr>
        <w:tc>
          <w:tcPr>
            <w:tcW w:type="dxa" w:w="4873"/>
          </w:tcPr>
          <w:p>
            <w:r/>
            <w:r>
              <w:rPr>
                <w:rFonts w:ascii="Calibri" w:hAnsi="Calibri" w:eastAsia="Calibri"/>
                <w:b w:val="0"/>
                <w:sz w:val="20"/>
              </w:rPr>
              <w:t>Primary demo path chosen (employee or employer first)</w:t>
            </w:r>
          </w:p>
        </w:tc>
        <w:tc>
          <w:tcPr>
            <w:tcW w:type="dxa" w:w="4873"/>
          </w:tcPr>
          <w:p>
            <w:r/>
            <w:r>
              <w:rPr>
                <w:rFonts w:ascii="Calibri" w:hAnsi="Calibri" w:eastAsia="Calibri"/>
                <w:b w:val="0"/>
                <w:sz w:val="20"/>
              </w:rPr>
            </w:r>
          </w:p>
        </w:tc>
      </w:tr>
      <w:tr>
        <w:tc>
          <w:tcPr>
            <w:tcW w:type="dxa" w:w="4873"/>
            <w:shd w:fill="F3F6FB" w:val="clear"/>
          </w:tcPr>
          <w:p>
            <w:r/>
            <w:r>
              <w:rPr>
                <w:rFonts w:ascii="Calibri" w:hAnsi="Calibri" w:eastAsia="Calibri"/>
                <w:b w:val="0"/>
                <w:sz w:val="20"/>
              </w:rPr>
              <w:t>Happy path runs without errors locally</w:t>
            </w:r>
          </w:p>
        </w:tc>
        <w:tc>
          <w:tcPr>
            <w:tcW w:type="dxa" w:w="4873"/>
            <w:shd w:fill="F3F6FB" w:val="clear"/>
          </w:tcPr>
          <w:p>
            <w:r/>
            <w:r>
              <w:rPr>
                <w:rFonts w:ascii="Calibri" w:hAnsi="Calibri" w:eastAsia="Calibri"/>
                <w:b w:val="0"/>
                <w:sz w:val="20"/>
              </w:rPr>
            </w:r>
          </w:p>
        </w:tc>
      </w:tr>
      <w:tr>
        <w:tc>
          <w:tcPr>
            <w:tcW w:type="dxa" w:w="4873"/>
          </w:tcPr>
          <w:p>
            <w:r/>
            <w:r>
              <w:rPr>
                <w:rFonts w:ascii="Calibri" w:hAnsi="Calibri" w:eastAsia="Calibri"/>
                <w:b w:val="0"/>
                <w:sz w:val="20"/>
              </w:rPr>
              <w:t>Word pack attached (docs 01–03)</w:t>
            </w:r>
          </w:p>
        </w:tc>
        <w:tc>
          <w:tcPr>
            <w:tcW w:type="dxa" w:w="4873"/>
          </w:tcPr>
          <w:p>
            <w:r/>
            <w:r>
              <w:rPr>
                <w:rFonts w:ascii="Calibri" w:hAnsi="Calibri" w:eastAsia="Calibri"/>
                <w:b w:val="0"/>
                <w:sz w:val="20"/>
              </w:rPr>
            </w:r>
          </w:p>
        </w:tc>
      </w:tr>
      <w:tr>
        <w:tc>
          <w:tcPr>
            <w:tcW w:type="dxa" w:w="4873"/>
            <w:shd w:fill="F3F6FB" w:val="clear"/>
          </w:tcPr>
          <w:p>
            <w:r/>
            <w:r>
              <w:rPr>
                <w:rFonts w:ascii="Calibri" w:hAnsi="Calibri" w:eastAsia="Calibri"/>
                <w:b w:val="0"/>
                <w:sz w:val="20"/>
              </w:rPr>
              <w:t>2–3 screenshots ready if manager cannot install</w:t>
            </w:r>
          </w:p>
        </w:tc>
        <w:tc>
          <w:tcPr>
            <w:tcW w:type="dxa" w:w="4873"/>
            <w:shd w:fill="F3F6FB" w:val="clear"/>
          </w:tcPr>
          <w:p>
            <w:r/>
            <w:r>
              <w:rPr>
                <w:rFonts w:ascii="Calibri" w:hAnsi="Calibri" w:eastAsia="Calibri"/>
                <w:b w:val="0"/>
                <w:sz w:val="20"/>
              </w:rPr>
            </w:r>
          </w:p>
        </w:tc>
      </w:tr>
      <w:tr>
        <w:tc>
          <w:tcPr>
            <w:tcW w:type="dxa" w:w="4873"/>
          </w:tcPr>
          <w:p>
            <w:r/>
            <w:r>
              <w:rPr>
                <w:rFonts w:ascii="Calibri" w:hAnsi="Calibri" w:eastAsia="Calibri"/>
                <w:b w:val="0"/>
                <w:sz w:val="20"/>
              </w:rPr>
              <w:t>Clear Phase 1 ask written in one paragraph</w:t>
            </w:r>
          </w:p>
        </w:tc>
        <w:tc>
          <w:tcPr>
            <w:tcW w:type="dxa" w:w="4873"/>
          </w:tcPr>
          <w:p>
            <w:r/>
            <w:r>
              <w:rPr>
                <w:rFonts w:ascii="Calibri" w:hAnsi="Calibri" w:eastAsia="Calibri"/>
                <w:b w:val="0"/>
                <w:sz w:val="20"/>
              </w:rPr>
            </w:r>
          </w:p>
        </w:tc>
      </w:tr>
      <w:tr>
        <w:tc>
          <w:tcPr>
            <w:tcW w:type="dxa" w:w="4873"/>
            <w:shd w:fill="F3F6FB" w:val="clear"/>
          </w:tcPr>
          <w:p>
            <w:r/>
            <w:r>
              <w:rPr>
                <w:rFonts w:ascii="Calibri" w:hAnsi="Calibri" w:eastAsia="Calibri"/>
                <w:b w:val="0"/>
                <w:sz w:val="20"/>
              </w:rPr>
              <w:t>Meeting slots offered</w:t>
            </w:r>
          </w:p>
        </w:tc>
        <w:tc>
          <w:tcPr>
            <w:tcW w:type="dxa" w:w="4873"/>
            <w:shd w:fill="F3F6FB" w:val="clear"/>
          </w:tcPr>
          <w:p>
            <w:r/>
            <w:r>
              <w:rPr>
                <w:rFonts w:ascii="Calibri" w:hAnsi="Calibri" w:eastAsia="Calibri"/>
                <w:b w:val="0"/>
                <w:sz w:val="20"/>
              </w:rPr>
            </w:r>
          </w:p>
        </w:tc>
      </w:tr>
    </w:tbl>
    <w:p/>
    <w:p>
      <w:pPr>
        <w:spacing w:after="120" w:line="276" w:lineRule="auto"/>
      </w:pPr>
      <w:r>
        <w:rPr>
          <w:rFonts w:ascii="Calibri" w:hAnsi="Calibri" w:eastAsia="Calibri"/>
          <w:b w:val="0"/>
          <w:i/>
          <w:sz w:val="22"/>
        </w:rPr>
        <w:t>If you want, the next follow-up can be a one-page Phase 1 proposal (scope, non-goals, owners, success measure) after the manager meeting.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