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F3864"/>
          <w:sz w:val="44"/>
          <w:szCs w:val="44"/>
        </w:rPr>
        <w:t xml:space="preserve">NEXORA TECHNOLOGIES LTD.</w:t>
      </w:r>
    </w:p>
    <w:p>
      <w:pPr>
        <w:spacing w:after="120"/>
        <w:jc w:val="center"/>
      </w:pPr>
      <w:r>
        <w:rPr>
          <w:rFonts w:ascii="Arial" w:cs="Arial" w:eastAsia="Arial" w:hAnsi="Arial"/>
          <w:color w:val="2F5496"/>
          <w:sz w:val="36"/>
          <w:szCs w:val="36"/>
        </w:rPr>
        <w:t xml:space="preserve">Company Policies</w:t>
      </w:r>
    </w:p>
    <w:p>
      <w:pPr>
        <w:pBdr>
          <w:bottom w:val="single" w:color="1F3864" w:sz="8" w:space="8"/>
        </w:pBdr>
        <w:spacing w:after="600"/>
        <w:jc w:val="center"/>
      </w:pPr>
      <w:r>
        <w:rPr>
          <w:rFonts w:ascii="Arial" w:cs="Arial" w:eastAsia="Arial" w:hAnsi="Arial"/>
          <w:color w:val="595959"/>
          <w:sz w:val="22"/>
          <w:szCs w:val="22"/>
        </w:rPr>
        <w:t xml:space="preserve">Policy Manual  |  Version 3.2  |  Effective 1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Document</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Details</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Policy Owner</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Olivia Hughes, HR Manager (NX-004)</w:t>
            </w:r>
          </w:p>
        </w:tc>
      </w:tr>
      <w:tr>
        <w:trPr>
          <w:tblHeader w:val="false"/>
        </w:trPr>
        <w:tc>
          <w:tcPr>
            <w:tcW w:type="dxa" w:w="30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Approved By</w:t>
            </w:r>
          </w:p>
        </w:tc>
        <w:tc>
          <w:tcPr>
            <w:tcW w:type="dxa" w:w="636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Daniel Carter, Chief Executive Officer (NX-001)</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Last Reviewed</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15 December 2025</w:t>
            </w:r>
          </w:p>
        </w:tc>
      </w:tr>
      <w:tr>
        <w:trPr>
          <w:tblHeader w:val="false"/>
        </w:trPr>
        <w:tc>
          <w:tcPr>
            <w:tcW w:type="dxa" w:w="30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Next Review</w:t>
            </w:r>
          </w:p>
        </w:tc>
        <w:tc>
          <w:tcPr>
            <w:tcW w:type="dxa" w:w="636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15 December 2026</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Applies To</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All employees, full-time and contract</w:t>
            </w:r>
          </w:p>
        </w:tc>
      </w:tr>
      <w:tr>
        <w:trPr>
          <w:tblHeader w:val="false"/>
        </w:trPr>
        <w:tc>
          <w:tcPr>
            <w:tcW w:type="dxa" w:w="30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Classification</w:t>
            </w:r>
          </w:p>
        </w:tc>
        <w:tc>
          <w:tcPr>
            <w:tcW w:type="dxa" w:w="636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Internal - for employees only</w:t>
            </w:r>
          </w:p>
        </w:tc>
      </w:tr>
    </w:tbl>
    <w:p>
      <w:pPr>
        <w:spacing w:after="100"/>
      </w:pPr>
    </w:p>
    <w:p>
      <w:pPr>
        <w:spacing w:after="120"/>
        <w:rPr>
          <w:i/>
          <w:iCs/>
          <w:color w:val="7F7F7F"/>
          <w:sz w:val="18"/>
          <w:szCs w:val="18"/>
        </w:rPr>
      </w:pPr>
      <w:r>
        <w:rPr>
          <w:rFonts w:ascii="Arial" w:cs="Arial" w:eastAsia="Arial" w:hAnsi="Arial"/>
          <w:i/>
          <w:iCs/>
          <w:color w:val="7F7F7F"/>
          <w:sz w:val="18"/>
          <w:szCs w:val="18"/>
        </w:rPr>
        <w:t xml:space="preserve">Note: Nexora Technologies Ltd. and all people mentioned in this document are fictional and used for testing purposes.</w:t>
      </w:r>
    </w:p>
    <w:p>
      <w:r>
        <w:br w:type="page"/>
      </w:r>
    </w:p>
    <w:p>
      <w:pPr>
        <w:spacing w:after="160"/>
      </w:pPr>
      <w:r>
        <w:rPr>
          <w:rFonts w:ascii="Arial" w:cs="Arial" w:eastAsia="Arial" w:hAnsi="Arial"/>
          <w:b/>
          <w:bCs/>
          <w:color w:val="1F3864"/>
          <w:sz w:val="30"/>
          <w:szCs w:val="30"/>
        </w:rPr>
        <w:t xml:space="preserve">Table of Contents</w:t>
      </w:r>
    </w:p>
    <w:p>
      <w:pPr>
        <w:spacing w:after="90"/>
      </w:pPr>
      <w:r>
        <w:rPr>
          <w:rFonts w:ascii="Arial" w:cs="Arial" w:eastAsia="Arial" w:hAnsi="Arial"/>
          <w:sz w:val="21"/>
          <w:szCs w:val="21"/>
        </w:rPr>
        <w:t xml:space="preserve">1. Purpose and Scope</w:t>
      </w:r>
    </w:p>
    <w:p>
      <w:pPr>
        <w:spacing w:after="90"/>
      </w:pPr>
      <w:r>
        <w:rPr>
          <w:rFonts w:ascii="Arial" w:cs="Arial" w:eastAsia="Arial" w:hAnsi="Arial"/>
          <w:sz w:val="21"/>
          <w:szCs w:val="21"/>
        </w:rPr>
        <w:t xml:space="preserve">2. Working Hours and Attendance</w:t>
      </w:r>
    </w:p>
    <w:p>
      <w:pPr>
        <w:spacing w:after="90"/>
      </w:pPr>
      <w:r>
        <w:rPr>
          <w:rFonts w:ascii="Arial" w:cs="Arial" w:eastAsia="Arial" w:hAnsi="Arial"/>
          <w:sz w:val="21"/>
          <w:szCs w:val="21"/>
        </w:rPr>
        <w:t xml:space="preserve">3. Leave Policy</w:t>
      </w:r>
    </w:p>
    <w:p>
      <w:pPr>
        <w:spacing w:after="90"/>
      </w:pPr>
      <w:r>
        <w:rPr>
          <w:rFonts w:ascii="Arial" w:cs="Arial" w:eastAsia="Arial" w:hAnsi="Arial"/>
          <w:sz w:val="21"/>
          <w:szCs w:val="21"/>
        </w:rPr>
        <w:t xml:space="preserve">4. Compensation and Benefits</w:t>
      </w:r>
    </w:p>
    <w:p>
      <w:pPr>
        <w:spacing w:after="90"/>
      </w:pPr>
      <w:r>
        <w:rPr>
          <w:rFonts w:ascii="Arial" w:cs="Arial" w:eastAsia="Arial" w:hAnsi="Arial"/>
          <w:sz w:val="21"/>
          <w:szCs w:val="21"/>
        </w:rPr>
        <w:t xml:space="preserve">5. Remote and Hybrid Work</w:t>
      </w:r>
    </w:p>
    <w:p>
      <w:pPr>
        <w:spacing w:after="90"/>
      </w:pPr>
      <w:r>
        <w:rPr>
          <w:rFonts w:ascii="Arial" w:cs="Arial" w:eastAsia="Arial" w:hAnsi="Arial"/>
          <w:sz w:val="21"/>
          <w:szCs w:val="21"/>
        </w:rPr>
        <w:t xml:space="preserve">6. Code of Conduct</w:t>
      </w:r>
    </w:p>
    <w:p>
      <w:pPr>
        <w:spacing w:after="90"/>
      </w:pPr>
      <w:r>
        <w:rPr>
          <w:rFonts w:ascii="Arial" w:cs="Arial" w:eastAsia="Arial" w:hAnsi="Arial"/>
          <w:sz w:val="21"/>
          <w:szCs w:val="21"/>
        </w:rPr>
        <w:t xml:space="preserve">7. Confidentiality and Data Protection</w:t>
      </w:r>
    </w:p>
    <w:p>
      <w:pPr>
        <w:spacing w:after="90"/>
      </w:pPr>
      <w:r>
        <w:rPr>
          <w:rFonts w:ascii="Arial" w:cs="Arial" w:eastAsia="Arial" w:hAnsi="Arial"/>
          <w:sz w:val="21"/>
          <w:szCs w:val="21"/>
        </w:rPr>
        <w:t xml:space="preserve">8. IT and Acceptable Use</w:t>
      </w:r>
    </w:p>
    <w:p>
      <w:pPr>
        <w:spacing w:after="90"/>
      </w:pPr>
      <w:r>
        <w:rPr>
          <w:rFonts w:ascii="Arial" w:cs="Arial" w:eastAsia="Arial" w:hAnsi="Arial"/>
          <w:sz w:val="21"/>
          <w:szCs w:val="21"/>
        </w:rPr>
        <w:t xml:space="preserve">9. Expenses and Travel</w:t>
      </w:r>
    </w:p>
    <w:p>
      <w:pPr>
        <w:spacing w:after="90"/>
      </w:pPr>
      <w:r>
        <w:rPr>
          <w:rFonts w:ascii="Arial" w:cs="Arial" w:eastAsia="Arial" w:hAnsi="Arial"/>
          <w:sz w:val="21"/>
          <w:szCs w:val="21"/>
        </w:rPr>
        <w:t xml:space="preserve">10. Performance Management</w:t>
      </w:r>
    </w:p>
    <w:p>
      <w:pPr>
        <w:spacing w:after="90"/>
      </w:pPr>
      <w:r>
        <w:rPr>
          <w:rFonts w:ascii="Arial" w:cs="Arial" w:eastAsia="Arial" w:hAnsi="Arial"/>
          <w:sz w:val="21"/>
          <w:szCs w:val="21"/>
        </w:rPr>
        <w:t xml:space="preserve">11. Disciplinary Procedure</w:t>
      </w:r>
    </w:p>
    <w:p>
      <w:pPr>
        <w:spacing w:after="90"/>
      </w:pPr>
      <w:r>
        <w:rPr>
          <w:rFonts w:ascii="Arial" w:cs="Arial" w:eastAsia="Arial" w:hAnsi="Arial"/>
          <w:sz w:val="21"/>
          <w:szCs w:val="21"/>
        </w:rPr>
        <w:t xml:space="preserve">12. Resignation, Notice and Exit</w:t>
      </w:r>
    </w:p>
    <w:p>
      <w:pPr>
        <w:spacing w:after="90"/>
      </w:pPr>
      <w:r>
        <w:rPr>
          <w:rFonts w:ascii="Arial" w:cs="Arial" w:eastAsia="Arial" w:hAnsi="Arial"/>
          <w:sz w:val="21"/>
          <w:szCs w:val="21"/>
        </w:rPr>
        <w:t xml:space="preserve">13. Policy Contacts</w:t>
      </w:r>
    </w:p>
    <w:p>
      <w:r>
        <w:br w:type="page"/>
      </w:r>
    </w:p>
    <w:p>
      <w:pPr>
        <w:pStyle w:val="Heading1"/>
        <w:spacing w:after="120" w:before="300"/>
      </w:pPr>
      <w:r>
        <w:rPr>
          <w:rFonts w:ascii="Arial" w:cs="Arial" w:eastAsia="Arial" w:hAnsi="Arial"/>
          <w:b/>
          <w:bCs/>
          <w:color w:val="1F3864"/>
          <w:sz w:val="28"/>
          <w:szCs w:val="28"/>
        </w:rPr>
        <w:t xml:space="preserve">1. Purpose and Scope</w:t>
      </w:r>
    </w:p>
    <w:p>
      <w:pPr>
        <w:spacing w:after="120"/>
      </w:pPr>
      <w:r>
        <w:rPr>
          <w:rFonts w:ascii="Arial" w:cs="Arial" w:eastAsia="Arial" w:hAnsi="Arial"/>
          <w:sz w:val="21"/>
          <w:szCs w:val="21"/>
        </w:rPr>
        <w:t xml:space="preserve">This manual sets out the policies that govern working life at Nexora Technologies Ltd. ("the Company"). It applies to all 20 employees, whether full-time or on contract, unless a policy states otherwise. Policies are owned by Human Resources and approved by the CEO. Where local law gives greater rights than this manual, the law prevails.</w:t>
      </w:r>
    </w:p>
    <w:p>
      <w:pPr>
        <w:pStyle w:val="Heading1"/>
        <w:spacing w:after="120" w:before="300"/>
      </w:pPr>
      <w:r>
        <w:rPr>
          <w:rFonts w:ascii="Arial" w:cs="Arial" w:eastAsia="Arial" w:hAnsi="Arial"/>
          <w:b/>
          <w:bCs/>
          <w:color w:val="1F3864"/>
          <w:sz w:val="28"/>
          <w:szCs w:val="28"/>
        </w:rPr>
        <w:t xml:space="preserve">2. Working Hours and Attendance</w:t>
      </w:r>
    </w:p>
    <w:p>
      <w:pPr>
        <w:pStyle w:val="ListParagraph"/>
        <w:numPr>
          <w:ilvl w:val="0"/>
          <w:numId w:val="2"/>
        </w:numPr>
        <w:spacing w:after="60"/>
      </w:pPr>
      <w:r>
        <w:rPr>
          <w:rFonts w:ascii="Arial" w:cs="Arial" w:eastAsia="Arial" w:hAnsi="Arial"/>
          <w:sz w:val="21"/>
          <w:szCs w:val="21"/>
        </w:rPr>
        <w:t xml:space="preserve">Standard working week is Monday to Friday. Core hours are 9:00 AM to 5:30 PM, including a 60-minute lunch break.</w:t>
      </w:r>
    </w:p>
    <w:p>
      <w:pPr>
        <w:pStyle w:val="ListParagraph"/>
        <w:numPr>
          <w:ilvl w:val="0"/>
          <w:numId w:val="2"/>
        </w:numPr>
        <w:spacing w:after="60"/>
      </w:pPr>
      <w:r>
        <w:rPr>
          <w:rFonts w:ascii="Arial" w:cs="Arial" w:eastAsia="Arial" w:hAnsi="Arial"/>
          <w:sz w:val="21"/>
          <w:szCs w:val="21"/>
        </w:rPr>
        <w:t xml:space="preserve">Employees are expected to be at their workstation or online by 9:15 AM. Three late arrivals of more than 15 minutes in a calendar month trigger a conversation with the line manager.</w:t>
      </w:r>
    </w:p>
    <w:p>
      <w:pPr>
        <w:pStyle w:val="ListParagraph"/>
        <w:numPr>
          <w:ilvl w:val="0"/>
          <w:numId w:val="2"/>
        </w:numPr>
        <w:spacing w:after="60"/>
      </w:pPr>
      <w:r>
        <w:rPr>
          <w:rFonts w:ascii="Arial" w:cs="Arial" w:eastAsia="Arial" w:hAnsi="Arial"/>
          <w:sz w:val="21"/>
          <w:szCs w:val="21"/>
        </w:rPr>
        <w:t xml:space="preserve">A standard month is counted as 22 working days for payroll purposes.</w:t>
      </w:r>
    </w:p>
    <w:p>
      <w:pPr>
        <w:pStyle w:val="ListParagraph"/>
        <w:numPr>
          <w:ilvl w:val="0"/>
          <w:numId w:val="2"/>
        </w:numPr>
        <w:spacing w:after="60"/>
      </w:pPr>
      <w:r>
        <w:rPr>
          <w:rFonts w:ascii="Arial" w:cs="Arial" w:eastAsia="Arial" w:hAnsi="Arial"/>
          <w:sz w:val="21"/>
          <w:szCs w:val="21"/>
        </w:rPr>
        <w:t xml:space="preserve">Overtime must be approved in advance by the department head. Approved overtime for non-management staff is compensated with time off in lieu at 1:1.</w:t>
      </w:r>
    </w:p>
    <w:p>
      <w:pPr>
        <w:pStyle w:val="ListParagraph"/>
        <w:numPr>
          <w:ilvl w:val="0"/>
          <w:numId w:val="2"/>
        </w:numPr>
        <w:spacing w:after="60"/>
      </w:pPr>
      <w:r>
        <w:rPr>
          <w:rFonts w:ascii="Arial" w:cs="Arial" w:eastAsia="Arial" w:hAnsi="Arial"/>
          <w:sz w:val="21"/>
          <w:szCs w:val="21"/>
        </w:rPr>
        <w:t xml:space="preserve">Unplanned absence must be reported to the line manager before 9:30 AM on the first day.</w:t>
      </w:r>
    </w:p>
    <w:p>
      <w:pPr>
        <w:pStyle w:val="Heading1"/>
        <w:spacing w:after="120" w:before="300"/>
      </w:pPr>
      <w:r>
        <w:rPr>
          <w:rFonts w:ascii="Arial" w:cs="Arial" w:eastAsia="Arial" w:hAnsi="Arial"/>
          <w:b/>
          <w:bCs/>
          <w:color w:val="1F3864"/>
          <w:sz w:val="28"/>
          <w:szCs w:val="28"/>
        </w:rPr>
        <w:t xml:space="preserve">3. Leave Policy</w:t>
      </w:r>
    </w:p>
    <w:p>
      <w:pPr>
        <w:spacing w:after="120"/>
      </w:pPr>
      <w:r>
        <w:rPr>
          <w:rFonts w:ascii="Arial" w:cs="Arial" w:eastAsia="Arial" w:hAnsi="Arial"/>
          <w:sz w:val="21"/>
          <w:szCs w:val="21"/>
        </w:rPr>
        <w:t xml:space="preserve">Leave entitlements are per calendar year (January to December). Leave must be applied for through the HR portal and approved by the reporting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Leave Type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Days / Year</w:t>
            </w:r>
          </w:p>
        </w:tc>
        <w:tc>
          <w:tcPr>
            <w:tcW w:type="dxa" w:w="5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Conditions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Annual Leave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20</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Accrues from date of joining. Up to 5 unused days may be carried forward to the next year; the rest lapse on 31 March.</w:t>
            </w:r>
          </w:p>
        </w:tc>
      </w:tr>
      <w:tr>
        <w:trPr>
          <w:tblHeader w:val="false"/>
        </w:trPr>
        <w:tc>
          <w:tcPr>
            <w:tcW w:type="dxa" w:w="23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Sick Leave</w:t>
            </w:r>
          </w:p>
        </w:tc>
        <w:tc>
          <w:tcPr>
            <w:tcW w:type="dxa" w:w="1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10</w:t>
            </w:r>
          </w:p>
        </w:tc>
        <w:tc>
          <w:tcPr>
            <w:tcW w:type="dxa" w:w="556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A medical certificate is required for absences of 3 or more consecutive days.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Casual Leave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6</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Maximum of 2 consecutive days at a time. Not carried forward.</w:t>
            </w:r>
          </w:p>
        </w:tc>
      </w:tr>
      <w:tr>
        <w:trPr>
          <w:tblHeader w:val="false"/>
        </w:trPr>
        <w:tc>
          <w:tcPr>
            <w:tcW w:type="dxa" w:w="23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Maternity Leave</w:t>
            </w:r>
          </w:p>
        </w:tc>
        <w:tc>
          <w:tcPr>
            <w:tcW w:type="dxa" w:w="1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90</w:t>
            </w:r>
          </w:p>
        </w:tc>
        <w:tc>
          <w:tcPr>
            <w:tcW w:type="dxa" w:w="556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Full pay. Available to full-time employees after 6 months of service.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Paternity Leave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10</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Full pay. To be taken within 3 months of the child's birth.</w:t>
            </w:r>
          </w:p>
        </w:tc>
      </w:tr>
      <w:tr>
        <w:trPr>
          <w:tblHeader w:val="false"/>
        </w:trPr>
        <w:tc>
          <w:tcPr>
            <w:tcW w:type="dxa" w:w="23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Unpaid Leave</w:t>
            </w:r>
          </w:p>
        </w:tc>
        <w:tc>
          <w:tcPr>
            <w:tcW w:type="dxa" w:w="1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As approved</w:t>
            </w:r>
          </w:p>
        </w:tc>
        <w:tc>
          <w:tcPr>
            <w:tcW w:type="dxa" w:w="556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Needs approval from the HR Manager and the CEO. Salary is deducted at 1/22 of basic salary per day.</w:t>
            </w:r>
          </w:p>
        </w:tc>
      </w:tr>
    </w:tbl>
    <w:p>
      <w:pPr>
        <w:spacing w:after="100"/>
      </w:pPr>
    </w:p>
    <w:p>
      <w:pPr>
        <w:spacing w:after="120"/>
      </w:pPr>
      <w:r>
        <w:rPr>
          <w:rFonts w:ascii="Arial" w:cs="Arial" w:eastAsia="Arial" w:hAnsi="Arial"/>
          <w:sz w:val="21"/>
          <w:szCs w:val="21"/>
        </w:rPr>
        <w:t xml:space="preserve">Contract employees are entitled to Sick Leave and Casual Leave only, and to Annual Leave on a pro-rata basis at 1.5 days per completed month of service. Public holidays follow the official Company holiday calendar published each December.</w:t>
      </w:r>
    </w:p>
    <w:p>
      <w:pPr>
        <w:pStyle w:val="Heading1"/>
        <w:spacing w:after="120" w:before="300"/>
      </w:pPr>
      <w:r>
        <w:rPr>
          <w:rFonts w:ascii="Arial" w:cs="Arial" w:eastAsia="Arial" w:hAnsi="Arial"/>
          <w:b/>
          <w:bCs/>
          <w:color w:val="1F3864"/>
          <w:sz w:val="28"/>
          <w:szCs w:val="28"/>
        </w:rPr>
        <w:t xml:space="preserve">4. Compensation and Benefits</w:t>
      </w:r>
    </w:p>
    <w:p>
      <w:pPr>
        <w:pStyle w:val="Heading2"/>
        <w:spacing w:after="80" w:before="180"/>
      </w:pPr>
      <w:r>
        <w:rPr>
          <w:rFonts w:ascii="Arial" w:cs="Arial" w:eastAsia="Arial" w:hAnsi="Arial"/>
          <w:b/>
          <w:bCs/>
          <w:color w:val="2F5496"/>
          <w:sz w:val="23"/>
          <w:szCs w:val="23"/>
        </w:rPr>
        <w:t xml:space="preserve">4.1 Salary Structure</w:t>
      </w:r>
    </w:p>
    <w:p>
      <w:pPr>
        <w:spacing w:after="120"/>
      </w:pPr>
      <w:r>
        <w:rPr>
          <w:rFonts w:ascii="Arial" w:cs="Arial" w:eastAsia="Arial" w:hAnsi="Arial"/>
          <w:sz w:val="21"/>
          <w:szCs w:val="21"/>
        </w:rPr>
        <w:t xml:space="preserve">Monthly salary is paid on the last working day of each month by bank transfer. Annual salary is divided into 12 equal monthly basic payments. The standard components are:</w:t>
      </w:r>
    </w:p>
    <w:p>
      <w:pPr>
        <w:pStyle w:val="ListParagraph"/>
        <w:numPr>
          <w:ilvl w:val="0"/>
          <w:numId w:val="2"/>
        </w:numPr>
        <w:spacing w:after="60"/>
      </w:pPr>
      <w:r>
        <w:rPr>
          <w:rFonts w:ascii="Arial" w:cs="Arial" w:eastAsia="Arial" w:hAnsi="Arial"/>
          <w:sz w:val="21"/>
          <w:szCs w:val="21"/>
        </w:rPr>
        <w:t xml:space="preserve">House Rent Allowance (HRA): 40% of basic salary.</w:t>
      </w:r>
    </w:p>
    <w:p>
      <w:pPr>
        <w:pStyle w:val="ListParagraph"/>
        <w:numPr>
          <w:ilvl w:val="0"/>
          <w:numId w:val="2"/>
        </w:numPr>
        <w:spacing w:after="60"/>
      </w:pPr>
      <w:r>
        <w:rPr>
          <w:rFonts w:ascii="Arial" w:cs="Arial" w:eastAsia="Arial" w:hAnsi="Arial"/>
          <w:sz w:val="21"/>
          <w:szCs w:val="21"/>
        </w:rPr>
        <w:t xml:space="preserve">Transport Allowance: $150 per month, fixed.</w:t>
      </w:r>
    </w:p>
    <w:p>
      <w:pPr>
        <w:pStyle w:val="ListParagraph"/>
        <w:numPr>
          <w:ilvl w:val="0"/>
          <w:numId w:val="2"/>
        </w:numPr>
        <w:spacing w:after="60"/>
      </w:pPr>
      <w:r>
        <w:rPr>
          <w:rFonts w:ascii="Arial" w:cs="Arial" w:eastAsia="Arial" w:hAnsi="Arial"/>
          <w:sz w:val="21"/>
          <w:szCs w:val="21"/>
        </w:rPr>
        <w:t xml:space="preserve">Medical Allowance: $100 per month, fixed.</w:t>
      </w:r>
    </w:p>
    <w:p>
      <w:pPr>
        <w:pStyle w:val="ListParagraph"/>
        <w:numPr>
          <w:ilvl w:val="0"/>
          <w:numId w:val="2"/>
        </w:numPr>
        <w:spacing w:after="60"/>
      </w:pPr>
      <w:r>
        <w:rPr>
          <w:rFonts w:ascii="Arial" w:cs="Arial" w:eastAsia="Arial" w:hAnsi="Arial"/>
          <w:sz w:val="21"/>
          <w:szCs w:val="21"/>
        </w:rPr>
        <w:t xml:space="preserve">Performance Bonus: discretionary, approved by the CEO and paid with monthly salary.</w:t>
      </w:r>
    </w:p>
    <w:p>
      <w:pPr>
        <w:pStyle w:val="Heading2"/>
        <w:spacing w:after="80" w:before="180"/>
      </w:pPr>
      <w:r>
        <w:rPr>
          <w:rFonts w:ascii="Arial" w:cs="Arial" w:eastAsia="Arial" w:hAnsi="Arial"/>
          <w:b/>
          <w:bCs/>
          <w:color w:val="2F5496"/>
          <w:sz w:val="23"/>
          <w:szCs w:val="23"/>
        </w:rPr>
        <w:t xml:space="preserve">4.2 Deductions</w:t>
      </w:r>
    </w:p>
    <w:p>
      <w:pPr>
        <w:pStyle w:val="ListParagraph"/>
        <w:numPr>
          <w:ilvl w:val="0"/>
          <w:numId w:val="2"/>
        </w:numPr>
        <w:spacing w:after="60"/>
      </w:pPr>
      <w:r>
        <w:rPr>
          <w:rFonts w:ascii="Arial" w:cs="Arial" w:eastAsia="Arial" w:hAnsi="Arial"/>
          <w:sz w:val="21"/>
          <w:szCs w:val="21"/>
        </w:rPr>
        <w:t xml:space="preserve">Provident Fund: 8% of basic salary, deducted from full-time employees only.</w:t>
      </w:r>
    </w:p>
    <w:p>
      <w:pPr>
        <w:pStyle w:val="ListParagraph"/>
        <w:numPr>
          <w:ilvl w:val="0"/>
          <w:numId w:val="2"/>
        </w:numPr>
        <w:spacing w:after="60"/>
      </w:pPr>
      <w:r>
        <w:rPr>
          <w:rFonts w:ascii="Arial" w:cs="Arial" w:eastAsia="Arial" w:hAnsi="Arial"/>
          <w:sz w:val="21"/>
          <w:szCs w:val="21"/>
        </w:rPr>
        <w:t xml:space="preserve">Health Insurance premium: $75 per month, deducted from all employees.</w:t>
      </w:r>
    </w:p>
    <w:p>
      <w:pPr>
        <w:pStyle w:val="ListParagraph"/>
        <w:numPr>
          <w:ilvl w:val="0"/>
          <w:numId w:val="2"/>
        </w:numPr>
        <w:spacing w:after="60"/>
      </w:pPr>
      <w:r>
        <w:rPr>
          <w:rFonts w:ascii="Arial" w:cs="Arial" w:eastAsia="Arial" w:hAnsi="Arial"/>
          <w:sz w:val="21"/>
          <w:szCs w:val="21"/>
        </w:rPr>
        <w:t xml:space="preserve">Income tax: withheld monthly according to the applicable salary slab, as set out in the payroll records.</w:t>
      </w:r>
    </w:p>
    <w:p>
      <w:pPr>
        <w:pStyle w:val="Heading2"/>
        <w:spacing w:after="80" w:before="180"/>
      </w:pPr>
      <w:r>
        <w:rPr>
          <w:rFonts w:ascii="Arial" w:cs="Arial" w:eastAsia="Arial" w:hAnsi="Arial"/>
          <w:b/>
          <w:bCs/>
          <w:color w:val="2F5496"/>
          <w:sz w:val="23"/>
          <w:szCs w:val="23"/>
        </w:rPr>
        <w:t xml:space="preserve">4.3 Salary Reviews</w:t>
      </w:r>
    </w:p>
    <w:p>
      <w:pPr>
        <w:spacing w:after="120"/>
      </w:pPr>
      <w:r>
        <w:rPr>
          <w:rFonts w:ascii="Arial" w:cs="Arial" w:eastAsia="Arial" w:hAnsi="Arial"/>
          <w:sz w:val="21"/>
          <w:szCs w:val="21"/>
        </w:rPr>
        <w:t xml:space="preserve">Salaries are reviewed once a year in January following the annual performance review. Increases are based on performance, role and Company results and are never guaranteed.</w:t>
      </w:r>
    </w:p>
    <w:p>
      <w:pPr>
        <w:pStyle w:val="Heading1"/>
        <w:spacing w:after="120" w:before="300"/>
      </w:pPr>
      <w:r>
        <w:rPr>
          <w:rFonts w:ascii="Arial" w:cs="Arial" w:eastAsia="Arial" w:hAnsi="Arial"/>
          <w:b/>
          <w:bCs/>
          <w:color w:val="1F3864"/>
          <w:sz w:val="28"/>
          <w:szCs w:val="28"/>
        </w:rPr>
        <w:t xml:space="preserve">5. Remote and Hybrid Work</w:t>
      </w:r>
    </w:p>
    <w:p>
      <w:pPr>
        <w:pStyle w:val="ListParagraph"/>
        <w:numPr>
          <w:ilvl w:val="0"/>
          <w:numId w:val="2"/>
        </w:numPr>
        <w:spacing w:after="60"/>
      </w:pPr>
      <w:r>
        <w:rPr>
          <w:rFonts w:ascii="Arial" w:cs="Arial" w:eastAsia="Arial" w:hAnsi="Arial"/>
          <w:sz w:val="21"/>
          <w:szCs w:val="21"/>
        </w:rPr>
        <w:t xml:space="preserve">Roles designated as remote (currently in Technology and Marketing) may work from home full-time. All other employees may work remotely up to 2 days per week with manager approval.</w:t>
      </w:r>
    </w:p>
    <w:p>
      <w:pPr>
        <w:pStyle w:val="ListParagraph"/>
        <w:numPr>
          <w:ilvl w:val="0"/>
          <w:numId w:val="2"/>
        </w:numPr>
        <w:spacing w:after="60"/>
      </w:pPr>
      <w:r>
        <w:rPr>
          <w:rFonts w:ascii="Arial" w:cs="Arial" w:eastAsia="Arial" w:hAnsi="Arial"/>
          <w:sz w:val="21"/>
          <w:szCs w:val="21"/>
        </w:rPr>
        <w:t xml:space="preserve">Remote employees must be available on Company chat and video during core hours.</w:t>
      </w:r>
    </w:p>
    <w:p>
      <w:pPr>
        <w:pStyle w:val="ListParagraph"/>
        <w:numPr>
          <w:ilvl w:val="0"/>
          <w:numId w:val="2"/>
        </w:numPr>
        <w:spacing w:after="60"/>
      </w:pPr>
      <w:r>
        <w:rPr>
          <w:rFonts w:ascii="Arial" w:cs="Arial" w:eastAsia="Arial" w:hAnsi="Arial"/>
          <w:sz w:val="21"/>
          <w:szCs w:val="21"/>
        </w:rPr>
        <w:t xml:space="preserve">Company laptops must be used for all work. Work on public Wi-Fi requires the Company VPN.</w:t>
      </w:r>
    </w:p>
    <w:p>
      <w:pPr>
        <w:pStyle w:val="ListParagraph"/>
        <w:numPr>
          <w:ilvl w:val="0"/>
          <w:numId w:val="2"/>
        </w:numPr>
        <w:spacing w:after="60"/>
      </w:pPr>
      <w:r>
        <w:rPr>
          <w:rFonts w:ascii="Arial" w:cs="Arial" w:eastAsia="Arial" w:hAnsi="Arial"/>
          <w:sz w:val="21"/>
          <w:szCs w:val="21"/>
        </w:rPr>
        <w:t xml:space="preserve">The Company does not reimburse home internet costs, but provides a one-time $300 home-office setup allowance on request.</w:t>
      </w:r>
    </w:p>
    <w:p>
      <w:pPr>
        <w:pStyle w:val="Heading1"/>
        <w:spacing w:after="120" w:before="300"/>
      </w:pPr>
      <w:r>
        <w:rPr>
          <w:rFonts w:ascii="Arial" w:cs="Arial" w:eastAsia="Arial" w:hAnsi="Arial"/>
          <w:b/>
          <w:bCs/>
          <w:color w:val="1F3864"/>
          <w:sz w:val="28"/>
          <w:szCs w:val="28"/>
        </w:rPr>
        <w:t xml:space="preserve">6. Code of Conduct</w:t>
      </w:r>
    </w:p>
    <w:p>
      <w:pPr>
        <w:spacing w:after="120"/>
      </w:pPr>
      <w:r>
        <w:rPr>
          <w:rFonts w:ascii="Arial" w:cs="Arial" w:eastAsia="Arial" w:hAnsi="Arial"/>
          <w:sz w:val="21"/>
          <w:szCs w:val="21"/>
        </w:rPr>
        <w:t xml:space="preserve">All employees are expected to act with honesty, respect and professionalism. In particular, employees must:</w:t>
      </w:r>
    </w:p>
    <w:p>
      <w:pPr>
        <w:pStyle w:val="ListParagraph"/>
        <w:numPr>
          <w:ilvl w:val="0"/>
          <w:numId w:val="2"/>
        </w:numPr>
        <w:spacing w:after="60"/>
      </w:pPr>
      <w:r>
        <w:rPr>
          <w:rFonts w:ascii="Arial" w:cs="Arial" w:eastAsia="Arial" w:hAnsi="Arial"/>
          <w:sz w:val="21"/>
          <w:szCs w:val="21"/>
        </w:rPr>
        <w:t xml:space="preserve">Treat colleagues, clients and suppliers with courtesy and without discrimination.</w:t>
      </w:r>
    </w:p>
    <w:p>
      <w:pPr>
        <w:pStyle w:val="ListParagraph"/>
        <w:numPr>
          <w:ilvl w:val="0"/>
          <w:numId w:val="2"/>
        </w:numPr>
        <w:spacing w:after="60"/>
      </w:pPr>
      <w:r>
        <w:rPr>
          <w:rFonts w:ascii="Arial" w:cs="Arial" w:eastAsia="Arial" w:hAnsi="Arial"/>
          <w:sz w:val="21"/>
          <w:szCs w:val="21"/>
        </w:rPr>
        <w:t xml:space="preserve">Declare any conflict of interest to HR in writing as soon as it arises.</w:t>
      </w:r>
    </w:p>
    <w:p>
      <w:pPr>
        <w:pStyle w:val="ListParagraph"/>
        <w:numPr>
          <w:ilvl w:val="0"/>
          <w:numId w:val="2"/>
        </w:numPr>
        <w:spacing w:after="60"/>
      </w:pPr>
      <w:r>
        <w:rPr>
          <w:rFonts w:ascii="Arial" w:cs="Arial" w:eastAsia="Arial" w:hAnsi="Arial"/>
          <w:sz w:val="21"/>
          <w:szCs w:val="21"/>
        </w:rPr>
        <w:t xml:space="preserve">Not accept gifts from clients or suppliers worth more than $50 without written approval from their manager.</w:t>
      </w:r>
    </w:p>
    <w:p>
      <w:pPr>
        <w:pStyle w:val="ListParagraph"/>
        <w:numPr>
          <w:ilvl w:val="0"/>
          <w:numId w:val="2"/>
        </w:numPr>
        <w:spacing w:after="60"/>
      </w:pPr>
      <w:r>
        <w:rPr>
          <w:rFonts w:ascii="Arial" w:cs="Arial" w:eastAsia="Arial" w:hAnsi="Arial"/>
          <w:sz w:val="21"/>
          <w:szCs w:val="21"/>
        </w:rPr>
        <w:t xml:space="preserve">Not use Company property or time for personal business ventures.</w:t>
      </w:r>
    </w:p>
    <w:p>
      <w:pPr>
        <w:pStyle w:val="Heading2"/>
        <w:spacing w:after="80" w:before="180"/>
      </w:pPr>
      <w:r>
        <w:rPr>
          <w:rFonts w:ascii="Arial" w:cs="Arial" w:eastAsia="Arial" w:hAnsi="Arial"/>
          <w:b/>
          <w:bCs/>
          <w:color w:val="2F5496"/>
          <w:sz w:val="23"/>
          <w:szCs w:val="23"/>
        </w:rPr>
        <w:t xml:space="preserve">Anti-Harassment</w:t>
      </w:r>
    </w:p>
    <w:p>
      <w:pPr>
        <w:spacing w:after="120"/>
      </w:pPr>
      <w:r>
        <w:rPr>
          <w:rFonts w:ascii="Arial" w:cs="Arial" w:eastAsia="Arial" w:hAnsi="Arial"/>
          <w:sz w:val="21"/>
          <w:szCs w:val="21"/>
        </w:rPr>
        <w:t xml:space="preserve">The Company has zero tolerance for harassment, bullying or discrimination of any kind. Complaints can be made confidentially to the HR Manager (hr@nexora-tech.com) or directly to the CEO. All complaints are investigated within 14 days and retaliation against a person who complains in good faith is a disciplinary offence.</w:t>
      </w:r>
    </w:p>
    <w:p>
      <w:pPr>
        <w:pStyle w:val="Heading1"/>
        <w:spacing w:after="120" w:before="300"/>
      </w:pPr>
      <w:r>
        <w:rPr>
          <w:rFonts w:ascii="Arial" w:cs="Arial" w:eastAsia="Arial" w:hAnsi="Arial"/>
          <w:b/>
          <w:bCs/>
          <w:color w:val="1F3864"/>
          <w:sz w:val="28"/>
          <w:szCs w:val="28"/>
        </w:rPr>
        <w:t xml:space="preserve">7. Confidentiality and Data Protection</w:t>
      </w:r>
    </w:p>
    <w:p>
      <w:pPr>
        <w:pStyle w:val="ListParagraph"/>
        <w:numPr>
          <w:ilvl w:val="0"/>
          <w:numId w:val="2"/>
        </w:numPr>
        <w:spacing w:after="60"/>
      </w:pPr>
      <w:r>
        <w:rPr>
          <w:rFonts w:ascii="Arial" w:cs="Arial" w:eastAsia="Arial" w:hAnsi="Arial"/>
          <w:sz w:val="21"/>
          <w:szCs w:val="21"/>
        </w:rPr>
        <w:t xml:space="preserve">Employee records, payroll data, financial reports, client contracts and management minutes are classified Confidential and may be accessed only by people who need them for their work.</w:t>
      </w:r>
    </w:p>
    <w:p>
      <w:pPr>
        <w:pStyle w:val="ListParagraph"/>
        <w:numPr>
          <w:ilvl w:val="0"/>
          <w:numId w:val="2"/>
        </w:numPr>
        <w:spacing w:after="60"/>
      </w:pPr>
      <w:r>
        <w:rPr>
          <w:rFonts w:ascii="Arial" w:cs="Arial" w:eastAsia="Arial" w:hAnsi="Arial"/>
          <w:sz w:val="21"/>
          <w:szCs w:val="21"/>
        </w:rPr>
        <w:t xml:space="preserve">Payroll and salary information is accessible only to Finance, HR and the CEO. Employees must not discuss or share the salary of another employee.</w:t>
      </w:r>
    </w:p>
    <w:p>
      <w:pPr>
        <w:pStyle w:val="ListParagraph"/>
        <w:numPr>
          <w:ilvl w:val="0"/>
          <w:numId w:val="2"/>
        </w:numPr>
        <w:spacing w:after="60"/>
      </w:pPr>
      <w:r>
        <w:rPr>
          <w:rFonts w:ascii="Arial" w:cs="Arial" w:eastAsia="Arial" w:hAnsi="Arial"/>
          <w:sz w:val="21"/>
          <w:szCs w:val="21"/>
        </w:rPr>
        <w:t xml:space="preserve">Client contracts and financial reports are accessible only to the CEO, CFO and department heads concerned.</w:t>
      </w:r>
    </w:p>
    <w:p>
      <w:pPr>
        <w:pStyle w:val="ListParagraph"/>
        <w:numPr>
          <w:ilvl w:val="0"/>
          <w:numId w:val="2"/>
        </w:numPr>
        <w:spacing w:after="60"/>
      </w:pPr>
      <w:r>
        <w:rPr>
          <w:rFonts w:ascii="Arial" w:cs="Arial" w:eastAsia="Arial" w:hAnsi="Arial"/>
          <w:sz w:val="21"/>
          <w:szCs w:val="21"/>
        </w:rPr>
        <w:t xml:space="preserve">Confidential documents must not be sent to personal email accounts or stored on personal devices.</w:t>
      </w:r>
    </w:p>
    <w:p>
      <w:pPr>
        <w:pStyle w:val="ListParagraph"/>
        <w:numPr>
          <w:ilvl w:val="0"/>
          <w:numId w:val="2"/>
        </w:numPr>
        <w:spacing w:after="60"/>
      </w:pPr>
      <w:r>
        <w:rPr>
          <w:rFonts w:ascii="Arial" w:cs="Arial" w:eastAsia="Arial" w:hAnsi="Arial"/>
          <w:sz w:val="21"/>
          <w:szCs w:val="21"/>
        </w:rPr>
        <w:t xml:space="preserve">Suspected data breaches must be reported to the CTO within 24 hours.</w:t>
      </w:r>
    </w:p>
    <w:p>
      <w:pPr>
        <w:pStyle w:val="ListParagraph"/>
        <w:numPr>
          <w:ilvl w:val="0"/>
          <w:numId w:val="2"/>
        </w:numPr>
        <w:spacing w:after="60"/>
      </w:pPr>
      <w:r>
        <w:rPr>
          <w:rFonts w:ascii="Arial" w:cs="Arial" w:eastAsia="Arial" w:hAnsi="Arial"/>
          <w:sz w:val="21"/>
          <w:szCs w:val="21"/>
        </w:rPr>
        <w:t xml:space="preserve">Confidentiality obligations continue after employment ends.</w:t>
      </w:r>
    </w:p>
    <w:p>
      <w:pPr>
        <w:pStyle w:val="Heading1"/>
        <w:spacing w:after="120" w:before="300"/>
      </w:pPr>
      <w:r>
        <w:rPr>
          <w:rFonts w:ascii="Arial" w:cs="Arial" w:eastAsia="Arial" w:hAnsi="Arial"/>
          <w:b/>
          <w:bCs/>
          <w:color w:val="1F3864"/>
          <w:sz w:val="28"/>
          <w:szCs w:val="28"/>
        </w:rPr>
        <w:t xml:space="preserve">8. IT and Acceptable Use</w:t>
      </w:r>
    </w:p>
    <w:p>
      <w:pPr>
        <w:pStyle w:val="ListParagraph"/>
        <w:numPr>
          <w:ilvl w:val="0"/>
          <w:numId w:val="2"/>
        </w:numPr>
        <w:spacing w:after="60"/>
      </w:pPr>
      <w:r>
        <w:rPr>
          <w:rFonts w:ascii="Arial" w:cs="Arial" w:eastAsia="Arial" w:hAnsi="Arial"/>
          <w:sz w:val="21"/>
          <w:szCs w:val="21"/>
        </w:rPr>
        <w:t xml:space="preserve">Company systems are for business use. Limited personal use is allowed if it does not interfere with work or breach other policies.</w:t>
      </w:r>
    </w:p>
    <w:p>
      <w:pPr>
        <w:pStyle w:val="ListParagraph"/>
        <w:numPr>
          <w:ilvl w:val="0"/>
          <w:numId w:val="2"/>
        </w:numPr>
        <w:spacing w:after="60"/>
      </w:pPr>
      <w:r>
        <w:rPr>
          <w:rFonts w:ascii="Arial" w:cs="Arial" w:eastAsia="Arial" w:hAnsi="Arial"/>
          <w:sz w:val="21"/>
          <w:szCs w:val="21"/>
        </w:rPr>
        <w:t xml:space="preserve">Passwords must be at least 12 characters, changed every 90 days, and never shared. Multi-factor authentication is mandatory on all Company accounts.</w:t>
      </w:r>
    </w:p>
    <w:p>
      <w:pPr>
        <w:pStyle w:val="ListParagraph"/>
        <w:numPr>
          <w:ilvl w:val="0"/>
          <w:numId w:val="2"/>
        </w:numPr>
        <w:spacing w:after="60"/>
      </w:pPr>
      <w:r>
        <w:rPr>
          <w:rFonts w:ascii="Arial" w:cs="Arial" w:eastAsia="Arial" w:hAnsi="Arial"/>
          <w:sz w:val="21"/>
          <w:szCs w:val="21"/>
        </w:rPr>
        <w:t xml:space="preserve">Software may be installed only with approval from IT Support.</w:t>
      </w:r>
    </w:p>
    <w:p>
      <w:pPr>
        <w:pStyle w:val="ListParagraph"/>
        <w:numPr>
          <w:ilvl w:val="0"/>
          <w:numId w:val="2"/>
        </w:numPr>
        <w:spacing w:after="60"/>
      </w:pPr>
      <w:r>
        <w:rPr>
          <w:rFonts w:ascii="Arial" w:cs="Arial" w:eastAsia="Arial" w:hAnsi="Arial"/>
          <w:sz w:val="21"/>
          <w:szCs w:val="21"/>
        </w:rPr>
        <w:t xml:space="preserve">Company equipment is recorded in the Office Asset Register and must be returned in good condition on leaving the Company.</w:t>
      </w:r>
    </w:p>
    <w:p>
      <w:pPr>
        <w:pStyle w:val="ListParagraph"/>
        <w:numPr>
          <w:ilvl w:val="0"/>
          <w:numId w:val="2"/>
        </w:numPr>
        <w:spacing w:after="60"/>
      </w:pPr>
      <w:r>
        <w:rPr>
          <w:rFonts w:ascii="Arial" w:cs="Arial" w:eastAsia="Arial" w:hAnsi="Arial"/>
          <w:sz w:val="21"/>
          <w:szCs w:val="21"/>
        </w:rPr>
        <w:t xml:space="preserve">The Company may monitor use of its systems for security and compliance purposes.</w:t>
      </w:r>
    </w:p>
    <w:p>
      <w:pPr>
        <w:pStyle w:val="Heading1"/>
        <w:spacing w:after="120" w:before="300"/>
      </w:pPr>
      <w:r>
        <w:rPr>
          <w:rFonts w:ascii="Arial" w:cs="Arial" w:eastAsia="Arial" w:hAnsi="Arial"/>
          <w:b/>
          <w:bCs/>
          <w:color w:val="1F3864"/>
          <w:sz w:val="28"/>
          <w:szCs w:val="28"/>
        </w:rPr>
        <w:t xml:space="preserve">9. Expenses and Travel</w:t>
      </w:r>
    </w:p>
    <w:p>
      <w:pPr>
        <w:pStyle w:val="ListParagraph"/>
        <w:numPr>
          <w:ilvl w:val="0"/>
          <w:numId w:val="2"/>
        </w:numPr>
        <w:spacing w:after="60"/>
      </w:pPr>
      <w:r>
        <w:rPr>
          <w:rFonts w:ascii="Arial" w:cs="Arial" w:eastAsia="Arial" w:hAnsi="Arial"/>
          <w:sz w:val="21"/>
          <w:szCs w:val="21"/>
        </w:rPr>
        <w:t xml:space="preserve">Business expenses must be pre-approved by the manager and claimed within 30 days with original receipts.</w:t>
      </w:r>
    </w:p>
    <w:p>
      <w:pPr>
        <w:pStyle w:val="ListParagraph"/>
        <w:numPr>
          <w:ilvl w:val="0"/>
          <w:numId w:val="2"/>
        </w:numPr>
        <w:spacing w:after="60"/>
      </w:pPr>
      <w:r>
        <w:rPr>
          <w:rFonts w:ascii="Arial" w:cs="Arial" w:eastAsia="Arial" w:hAnsi="Arial"/>
          <w:sz w:val="21"/>
          <w:szCs w:val="21"/>
        </w:rPr>
        <w:t xml:space="preserve">Domestic flights are economy class. Hotel stays are limited to $150 per night; meals to $50 per day while travelling.</w:t>
      </w:r>
    </w:p>
    <w:p>
      <w:pPr>
        <w:pStyle w:val="ListParagraph"/>
        <w:numPr>
          <w:ilvl w:val="0"/>
          <w:numId w:val="2"/>
        </w:numPr>
        <w:spacing w:after="60"/>
      </w:pPr>
      <w:r>
        <w:rPr>
          <w:rFonts w:ascii="Arial" w:cs="Arial" w:eastAsia="Arial" w:hAnsi="Arial"/>
          <w:sz w:val="21"/>
          <w:szCs w:val="21"/>
        </w:rPr>
        <w:t xml:space="preserve">Expense claims are reimbursed with the next monthly salary after approval by Finance.</w:t>
      </w:r>
    </w:p>
    <w:p>
      <w:pPr>
        <w:pStyle w:val="ListParagraph"/>
        <w:numPr>
          <w:ilvl w:val="0"/>
          <w:numId w:val="2"/>
        </w:numPr>
        <w:spacing w:after="60"/>
      </w:pPr>
      <w:r>
        <w:rPr>
          <w:rFonts w:ascii="Arial" w:cs="Arial" w:eastAsia="Arial" w:hAnsi="Arial"/>
          <w:sz w:val="21"/>
          <w:szCs w:val="21"/>
        </w:rPr>
        <w:t xml:space="preserve">Claims above $1,000 require approval from the CFO.</w:t>
      </w:r>
    </w:p>
    <w:p>
      <w:pPr>
        <w:pStyle w:val="Heading1"/>
        <w:spacing w:after="120" w:before="300"/>
      </w:pPr>
      <w:r>
        <w:rPr>
          <w:rFonts w:ascii="Arial" w:cs="Arial" w:eastAsia="Arial" w:hAnsi="Arial"/>
          <w:b/>
          <w:bCs/>
          <w:color w:val="1F3864"/>
          <w:sz w:val="28"/>
          <w:szCs w:val="28"/>
        </w:rPr>
        <w:t xml:space="preserve">10. Performance Management</w:t>
      </w:r>
    </w:p>
    <w:p>
      <w:pPr>
        <w:spacing w:after="120"/>
      </w:pPr>
      <w:r>
        <w:rPr>
          <w:rFonts w:ascii="Arial" w:cs="Arial" w:eastAsia="Arial" w:hAnsi="Arial"/>
          <w:sz w:val="21"/>
          <w:szCs w:val="21"/>
        </w:rPr>
        <w:t xml:space="preserve">Performance is reviewed twice a year: a mid-year check-in in July and a formal annual review in December. Ratings are given on a five-point scale (1 = Needs Improvement, 5 = Outstanding). Employees rated 1 or 2 are placed on a 90-day Performance Improvement Plan agreed with HR and the line manager.</w:t>
      </w:r>
    </w:p>
    <w:p>
      <w:pPr>
        <w:pStyle w:val="Heading1"/>
        <w:spacing w:after="120" w:before="300"/>
      </w:pPr>
      <w:r>
        <w:rPr>
          <w:rFonts w:ascii="Arial" w:cs="Arial" w:eastAsia="Arial" w:hAnsi="Arial"/>
          <w:b/>
          <w:bCs/>
          <w:color w:val="1F3864"/>
          <w:sz w:val="28"/>
          <w:szCs w:val="28"/>
        </w:rPr>
        <w:t xml:space="preserve">11. Disciplinary Procedure</w:t>
      </w:r>
    </w:p>
    <w:p>
      <w:pPr>
        <w:spacing w:after="120"/>
      </w:pPr>
      <w:r>
        <w:rPr>
          <w:rFonts w:ascii="Arial" w:cs="Arial" w:eastAsia="Arial" w:hAnsi="Arial"/>
          <w:sz w:val="21"/>
          <w:szCs w:val="21"/>
        </w:rPr>
        <w:t xml:space="preserve">The Company follows a progressive procedure: (1) verbal warning, (2) first written warning, (3) final written warning, (4) termination. Serious misconduct, such as theft, fraud, violence, serious breach of confidentiality or harassment, may lead to immediate dismissal after an investigation. Employees have the right to be heard and to be accompanied by a colleague at any disciplinary meeting.</w:t>
      </w:r>
    </w:p>
    <w:p>
      <w:pPr>
        <w:pStyle w:val="Heading1"/>
        <w:spacing w:after="120" w:before="300"/>
      </w:pPr>
      <w:r>
        <w:rPr>
          <w:rFonts w:ascii="Arial" w:cs="Arial" w:eastAsia="Arial" w:hAnsi="Arial"/>
          <w:b/>
          <w:bCs/>
          <w:color w:val="1F3864"/>
          <w:sz w:val="28"/>
          <w:szCs w:val="28"/>
        </w:rPr>
        <w:t xml:space="preserve">12. Resignation, Notice and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Employment Type</w:t>
            </w:r>
          </w:p>
        </w:tc>
        <w:tc>
          <w:tcPr>
            <w:tcW w:type="dxa" w:w="58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Notice Period</w:t>
            </w:r>
          </w:p>
        </w:tc>
      </w:tr>
      <w:tr>
        <w:trPr>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Full-time employees</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30 days (60 days for managers and above)</w:t>
            </w:r>
          </w:p>
        </w:tc>
      </w:tr>
      <w:tr>
        <w:trPr>
          <w:tblHeader w:val="false"/>
        </w:trPr>
        <w:tc>
          <w:tcPr>
            <w:tcW w:type="dxa" w:w="35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Contract employees</w:t>
            </w:r>
          </w:p>
        </w:tc>
        <w:tc>
          <w:tcPr>
            <w:tcW w:type="dxa" w:w="586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14 days, unless the contract states otherwise</w:t>
            </w:r>
          </w:p>
        </w:tc>
      </w:tr>
      <w:tr>
        <w:trPr>
          <w:tblHeader w:val="false"/>
        </w:trPr>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During probation (first 3 months)</w:t>
            </w:r>
          </w:p>
        </w:tc>
        <w:tc>
          <w:tcPr>
            <w:tcW w:type="dxa" w:w="5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7 days</w:t>
            </w:r>
          </w:p>
        </w:tc>
      </w:tr>
    </w:tbl>
    <w:p>
      <w:pPr>
        <w:spacing w:after="100"/>
      </w:pPr>
    </w:p>
    <w:p>
      <w:pPr>
        <w:pStyle w:val="ListParagraph"/>
        <w:numPr>
          <w:ilvl w:val="0"/>
          <w:numId w:val="2"/>
        </w:numPr>
        <w:spacing w:after="60"/>
      </w:pPr>
      <w:r>
        <w:rPr>
          <w:rFonts w:ascii="Arial" w:cs="Arial" w:eastAsia="Arial" w:hAnsi="Arial"/>
          <w:sz w:val="21"/>
          <w:szCs w:val="21"/>
        </w:rPr>
        <w:t xml:space="preserve">All Company assets, access cards and documents must be returned on or before the last working day.</w:t>
      </w:r>
    </w:p>
    <w:p>
      <w:pPr>
        <w:pStyle w:val="ListParagraph"/>
        <w:numPr>
          <w:ilvl w:val="0"/>
          <w:numId w:val="2"/>
        </w:numPr>
        <w:spacing w:after="60"/>
      </w:pPr>
      <w:r>
        <w:rPr>
          <w:rFonts w:ascii="Arial" w:cs="Arial" w:eastAsia="Arial" w:hAnsi="Arial"/>
          <w:sz w:val="21"/>
          <w:szCs w:val="21"/>
        </w:rPr>
        <w:t xml:space="preserve">Final salary, including payment for accrued annual leave, is paid within 30 days of the last working day.</w:t>
      </w:r>
    </w:p>
    <w:p>
      <w:pPr>
        <w:pStyle w:val="ListParagraph"/>
        <w:numPr>
          <w:ilvl w:val="0"/>
          <w:numId w:val="2"/>
        </w:numPr>
        <w:spacing w:after="60"/>
      </w:pPr>
      <w:r>
        <w:rPr>
          <w:rFonts w:ascii="Arial" w:cs="Arial" w:eastAsia="Arial" w:hAnsi="Arial"/>
          <w:sz w:val="21"/>
          <w:szCs w:val="21"/>
        </w:rPr>
        <w:t xml:space="preserve">An exit interview is held with HR. Experience letters are issued on request within 7 days.</w:t>
      </w:r>
    </w:p>
    <w:p>
      <w:pPr>
        <w:pStyle w:val="Heading1"/>
        <w:spacing w:after="120" w:before="300"/>
      </w:pPr>
      <w:r>
        <w:rPr>
          <w:rFonts w:ascii="Arial" w:cs="Arial" w:eastAsia="Arial" w:hAnsi="Arial"/>
          <w:b/>
          <w:bCs/>
          <w:color w:val="1F3864"/>
          <w:sz w:val="28"/>
          <w:szCs w:val="28"/>
        </w:rPr>
        <w:t xml:space="preserve">13. Policy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Topic</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Contact</w:t>
            </w:r>
          </w:p>
        </w:tc>
        <w:tc>
          <w:tcPr>
            <w:tcW w:type="dxa" w:w="3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Email</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HR, leave and benefits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Olivia Hughes, HR Manager</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hr@nexora-tech.com</w:t>
            </w:r>
          </w:p>
        </w:tc>
      </w:tr>
      <w:tr>
        <w:trPr>
          <w:tblHeader w:val="false"/>
        </w:trPr>
        <w:tc>
          <w:tcPr>
            <w:tcW w:type="dxa" w:w="30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Payroll and expenses</w:t>
            </w:r>
          </w:p>
        </w:tc>
        <w:tc>
          <w:tcPr>
            <w:tcW w:type="dxa" w:w="33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Sophia Bennett, CFO</w:t>
            </w:r>
          </w:p>
        </w:tc>
        <w:tc>
          <w:tcPr>
            <w:tcW w:type="dxa" w:w="306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finance@nexora-tech.com</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IT and data security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Marcus Reed, CTO</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19"/>
                <w:szCs w:val="19"/>
              </w:rPr>
              <w:t xml:space="preserve">it@nexora-tech.com</w:t>
            </w:r>
          </w:p>
        </w:tc>
      </w:tr>
      <w:tr>
        <w:trPr>
          <w:tblHeader w:val="false"/>
        </w:trPr>
        <w:tc>
          <w:tcPr>
            <w:tcW w:type="dxa" w:w="30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Office and assets</w:t>
            </w:r>
          </w:p>
        </w:tc>
        <w:tc>
          <w:tcPr>
            <w:tcW w:type="dxa" w:w="330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Henry Coleman, Operations Manager</w:t>
            </w:r>
          </w:p>
        </w:tc>
        <w:tc>
          <w:tcPr>
            <w:tcW w:type="dxa" w:w="3060"/>
            <w:tcBorders>
              <w:top w:val="single" w:color="BFBFBF" w:sz="4"/>
              <w:left w:val="single" w:color="BFBFBF" w:sz="4"/>
              <w:bottom w:val="single" w:color="BFBFBF" w:sz="4"/>
              <w:right w:val="single" w:color="BFBFBF" w:sz="4"/>
            </w:tcBorders>
            <w:shd w:fill="EEF3FA" w:color="auto" w:val="clear"/>
            <w:tcMar>
              <w:top w:type="dxa" w:w="70"/>
              <w:left w:type="dxa" w:w="110"/>
              <w:bottom w:type="dxa" w:w="70"/>
              <w:right w:type="dxa" w:w="110"/>
            </w:tcMar>
          </w:tcPr>
          <w:p>
            <w:r>
              <w:rPr>
                <w:rFonts w:ascii="Arial" w:cs="Arial" w:eastAsia="Arial" w:hAnsi="Arial"/>
                <w:b w:val="false"/>
                <w:bCs w:val="false"/>
                <w:color w:val="000000"/>
                <w:sz w:val="19"/>
                <w:szCs w:val="19"/>
              </w:rPr>
              <w:t xml:space="preserve">operations@nexora-tech.com</w:t>
            </w:r>
          </w:p>
        </w:tc>
      </w:tr>
    </w:tbl>
    <w:sectPr>
      <w:headerReference w:type="default" r:id="rId7"/>
      <w:footerReference w:type="default" r:id="rId8"/>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Internal - Confidential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Nexora Technologies Ltd.  |  Company Policies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2026-10-05T06:14:28.554Z</dcterms:created>
  <dcterms:modified xsi:type="dcterms:W3CDTF">2026-10-05T06:14:28.560Z</dcterms:modified>
</cp:coreProperties>
</file>

<file path=docProps/custom.xml><?xml version="1.0" encoding="utf-8"?>
<Properties xmlns="http://schemas.openxmlformats.org/officeDocument/2006/custom-properties" xmlns:vt="http://schemas.openxmlformats.org/officeDocument/2006/docPropsVTypes"/>
</file>