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jpg" ContentType="image/jpeg"/>
  <Override PartName="/word/media/rId23.jpg" ContentType="image/jpeg"/>
  <Override PartName="/word/media/rId20.jpg" ContentType="image/jpeg"/>
  <Override PartName="/word/media/image1.gif" ContentType="image/gif"/>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jc w:val="start"/>
      </w:tblPr>
      <w:tblGrid>
        <w:gridCol w:w="7920"/>
      </w:tblGrid>
      <w:tr>
        <w:tc>
          <w:tcPr/>
          <w:p>
            <w:pPr>
              <w:pStyle w:val="Compact"/>
              <w:jc w:val="center"/>
            </w:pPr>
            <w:r>
              <w:drawing>
                <wp:inline>
                  <wp:extent cx="1079999" cy="1079999"/>
                  <wp:effectExtent b="0" l="0" r="0" t="0"/>
                  <wp:docPr descr="" title="" id="1" name="Picture"/>
                  <a:graphic>
                    <a:graphicData uri="http://schemas.openxmlformats.org/drawingml/2006/picture">
                      <pic:pic>
                        <pic:nvPicPr>
                          <pic:cNvPr descr="../Donnees/LOGO3.jpg" id="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jc w:val="start"/>
      </w:tblPr>
      <w:tblGrid>
        <w:gridCol w:w="7920"/>
      </w:tblGrid>
      <w:tr>
        <w:tc>
          <w:tcPr/>
          <w:p>
            <w:pPr>
              <w:pStyle w:val="Compact"/>
              <w:jc w:val="center"/>
            </w:pPr>
            <w:r>
              <w:drawing>
                <wp:inline>
                  <wp:extent cx="1259999" cy="1142790"/>
                  <wp:effectExtent b="0" l="0" r="0" t="0"/>
                  <wp:docPr descr="" title="" id="3" name="Picture"/>
                  <a:graphic>
                    <a:graphicData uri="http://schemas.openxmlformats.org/drawingml/2006/picture">
                      <pic:pic>
                        <pic:nvPicPr>
                          <pic:cNvPr descr="../Donnees/LOGO2.jpg" id="4" name="Picture"/>
                          <pic:cNvPicPr>
                            <a:picLocks noChangeArrowheads="1" noChangeAspect="1"/>
                          </pic:cNvPicPr>
                        </pic:nvPicPr>
                        <pic:blipFill>
                          <a:blip r:embed="rId23"/>
                          <a:stretch>
                            <a:fillRect/>
                          </a:stretch>
                        </pic:blipFill>
                        <pic:spPr bwMode="auto">
                          <a:xfrm>
                            <a:off x="0" y="0"/>
                            <a:ext cx="1259999" cy="1142790"/>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jc w:val="start"/>
      </w:tblPr>
      <w:tblGrid>
        <w:gridCol w:w="7920"/>
      </w:tblGrid>
      <w:tr>
        <w:tc>
          <w:tcPr/>
          <w:p>
            <w:pPr>
              <w:pStyle w:val="Compact"/>
              <w:jc w:val="center"/>
            </w:pPr>
            <w:r>
              <w:drawing>
                <wp:inline>
                  <wp:extent cx="899999" cy="719999"/>
                  <wp:effectExtent b="0" l="0" r="0" t="0"/>
                  <wp:docPr descr="" title="" id="5" name="Picture"/>
                  <a:graphic>
                    <a:graphicData uri="http://schemas.openxmlformats.org/drawingml/2006/picture">
                      <pic:pic>
                        <pic:nvPicPr>
                          <pic:cNvPr descr="../Donnees/LOGO1.jpg" id="6"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30"/>
                <w:szCs w:val="30"/>
                <w:color w:val="000000"/>
              </w:rPr>
            </w:pPr>
            <w:r>
              <w:rPr>
                <w:rFonts w:ascii="Times New Roman" w:hAnsi="Times New Roman" w:eastAsia="Times New Roman" w:cs="Times New Roman"/>
                <w:i w:val="true"/>
                <w:b w:val="false"/>
                <w:u w:val="none"/>
                <w:sz w:val="30"/>
                <w:szCs w:val="30"/>
                <w:color w:val="000000"/>
              </w:rPr>
              <w:t xml:space="preserve">Projet statistique avec R</w:t>
            </w:r>
          </w:p>
        </w:tc>
      </w:tr>
    </w:tbl>
    <w:bookmarkStart w:id="29" w:name="X4a81dcc733e0fdf69a0b4f9df8f64aead440316"/>
    <w:p>
      <w:pPr>
        <w:pStyle w:val="Titre1"/>
      </w:pPr>
      <w:r>
        <w:t xml:space="preserve">Indicateurs d’insécurité alimentaire au Tchad</w:t>
      </w:r>
    </w:p>
    <w:p>
      <w:pPr>
        <w:pStyle w:val="FirstParagraph"/>
      </w:pPr>
      <m:oMathPara>
        <m:oMathParaPr>
          <m:jc m:val="center"/>
        </m:oMathParaPr>
        <m:oMath/>
      </m:oMathPara>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Fait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Fogwoung Djoufack Sarah-Laure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Élève Ingénieure Statisticienne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Research analyst</w:t>
            </w:r>
          </w:p>
        </w:tc>
      </w:tr>
    </w:tbl>
    <w:tbl>
      <w:tblPr>
        <w:tblStyle w:val="Table"/>
        <w:tblW w:type="auto" w:w="0"/>
        <w:tblLook w:firstRow="0" w:lastRow="0" w:firstColumn="0" w:lastColumn="0" w:noHBand="0" w:noVBand="0" w:val="0000"/>
        <w:jc w:val="start"/>
      </w:tblPr>
      <w:tblGrid>
        <w:gridCol w:w="7920"/>
      </w:tblGrid>
      <w:tr>
        <w:tc>
          <w:tcPr/>
          <w:p>
            <w:pPr>
              <w:pStyle w:val="Compact"/>
              <w:jc w:val="center"/>
            </w:pPr>
            <w:r>
              <w:rPr>
                <w:bCs/>
                <w:b/>
              </w:rPr>
              <w:t xml:space="preserve">Année académique 2024-2025</w:t>
            </w:r>
          </w:p>
        </w:tc>
      </w:tr>
    </w:tbl>
    <w:p>
      <w:r>
        <w:br w:type="page"/>
      </w:r>
    </w:p>
    <w:bookmarkEnd w:id="29"/>
    <w:bookmarkStart w:id="30" w:name="sommaire"/>
    <w:p>
      <w:pPr>
        <w:pStyle w:val="Titre1"/>
      </w:pPr>
      <w:r>
        <w:t xml:space="preserve">Sommaire</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30"/>
    <w:bookmarkStart w:id="31" w:name="liste-des-figures"/>
    <w:p>
      <w:pPr>
        <w:pStyle w:val="Titre1"/>
      </w:pPr>
      <w:r>
        <w:t xml:space="preserve">Liste des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r>
        <w:br w:type="page"/>
      </w:r>
    </w:p>
    <w:bookmarkEnd w:id="31"/>
    <w:bookmarkStart w:id="34" w:name="introduction"/>
    <w:p>
      <w:pPr>
        <w:pStyle w:val="Titre1"/>
      </w:pPr>
      <w:r>
        <w:t xml:space="preserve">Introduction</w:t>
      </w:r>
    </w:p>
    <w:bookmarkStart w:id="32" w:name="contexte"/>
    <w:p>
      <w:pPr>
        <w:pStyle w:val="Titre2"/>
      </w:pPr>
      <w:r>
        <w:t xml:space="preserve">Contexte :</w:t>
      </w:r>
    </w:p>
    <w:p>
      <w:pPr>
        <w:pStyle w:val="FirstParagraph"/>
      </w:pPr>
      <w:r>
        <w:t xml:space="preserve">Dans le cadre de l’évaluation faisant suite aux 20 heures de cours de</w:t>
      </w:r>
      <w:r>
        <w:t xml:space="preserve"> </w:t>
      </w:r>
      <w:r>
        <w:t xml:space="preserve">Projet statistique avec R, ce document présente une application concrète</w:t>
      </w:r>
      <w:r>
        <w:t xml:space="preserve"> </w:t>
      </w:r>
      <w:r>
        <w:t xml:space="preserve">des notions abordées. Il s’agit ici de réaliser une analyse statistique</w:t>
      </w:r>
      <w:r>
        <w:t xml:space="preserve"> </w:t>
      </w:r>
      <w:r>
        <w:t xml:space="preserve">complète à l’aide du logiciel R, incluant le calcul d’indicateurs clés</w:t>
      </w:r>
      <w:r>
        <w:t xml:space="preserve"> </w:t>
      </w:r>
      <w:r>
        <w:t xml:space="preserve">liés à la sécurité alimentaire, la résilience des ménages et la</w:t>
      </w:r>
      <w:r>
        <w:t xml:space="preserve"> </w:t>
      </w:r>
      <w:r>
        <w:t xml:space="preserve">nutrition infantile, afin de mettre en pratique les compétences acquises</w:t>
      </w:r>
      <w:r>
        <w:t xml:space="preserve"> </w:t>
      </w:r>
      <w:r>
        <w:t xml:space="preserve">tout au long du cours. Le travail est divisé en plusieurs sections clés</w:t>
      </w:r>
      <w:r>
        <w:t xml:space="preserve"> </w:t>
      </w:r>
      <w:r>
        <w:t xml:space="preserve">qui abordent des analyses spécifiques telles que l’évaluation du score</w:t>
      </w:r>
      <w:r>
        <w:t xml:space="preserve"> </w:t>
      </w:r>
      <w:r>
        <w:t xml:space="preserve">de consommation alimentaire (SCA), l’indice réduit des stratégies de</w:t>
      </w:r>
      <w:r>
        <w:t xml:space="preserve"> </w:t>
      </w:r>
      <w:r>
        <w:t xml:space="preserve">survie (rCSI), les stratégies d’adaptation aux moyens d’existence</w:t>
      </w:r>
      <w:r>
        <w:t xml:space="preserve"> </w:t>
      </w:r>
      <w:r>
        <w:t xml:space="preserve">(LhCSI), et le score de diversité alimentaire des ménages (HDDS), entre</w:t>
      </w:r>
      <w:r>
        <w:t xml:space="preserve"> </w:t>
      </w:r>
      <w:r>
        <w:t xml:space="preserve">autres.</w:t>
      </w:r>
    </w:p>
    <w:bookmarkEnd w:id="32"/>
    <w:bookmarkStart w:id="33" w:name="objectifs-du-travail"/>
    <w:p>
      <w:pPr>
        <w:pStyle w:val="Titre2"/>
      </w:pPr>
      <w:r>
        <w:t xml:space="preserve">Objectifs du travail :</w:t>
      </w:r>
    </w:p>
    <w:p>
      <w:pPr>
        <w:numPr>
          <w:ilvl w:val="0"/>
          <w:numId w:val="1001"/>
        </w:numPr>
        <w:pStyle w:val="Compact"/>
      </w:pPr>
      <w:r>
        <w:rPr>
          <w:bCs/>
          <w:b/>
        </w:rPr>
        <w:t xml:space="preserve">Réaliser une analyse de consistance des bases de données</w:t>
      </w:r>
      <w:r>
        <w:t xml:space="preserve"> </w:t>
      </w:r>
      <w:r>
        <w:t xml:space="preserve">pour</w:t>
      </w:r>
      <w:r>
        <w:t xml:space="preserve"> </w:t>
      </w:r>
      <w:r>
        <w:t xml:space="preserve">identifier et corriger les anomalies éventuelles.</w:t>
      </w:r>
    </w:p>
    <w:p>
      <w:pPr>
        <w:numPr>
          <w:ilvl w:val="0"/>
          <w:numId w:val="1001"/>
        </w:numPr>
        <w:pStyle w:val="Compact"/>
      </w:pPr>
      <w:r>
        <w:rPr>
          <w:bCs/>
          <w:b/>
        </w:rPr>
        <w:t xml:space="preserve">Effectuer une analyse socio-démographique des ménages</w:t>
      </w:r>
      <w:r>
        <w:t xml:space="preserve"> </w:t>
      </w:r>
      <w:r>
        <w:t xml:space="preserve">pour</w:t>
      </w:r>
      <w:r>
        <w:t xml:space="preserve"> </w:t>
      </w:r>
      <w:r>
        <w:t xml:space="preserve">identifier des tendances des variables démographiques.</w:t>
      </w:r>
    </w:p>
    <w:p>
      <w:pPr>
        <w:numPr>
          <w:ilvl w:val="0"/>
          <w:numId w:val="1001"/>
        </w:numPr>
        <w:pStyle w:val="Compact"/>
      </w:pPr>
      <w:r>
        <w:rPr>
          <w:bCs/>
          <w:b/>
        </w:rPr>
        <w:t xml:space="preserve">Calculer et interpréter des scores</w:t>
      </w:r>
      <w:r>
        <w:t xml:space="preserve"> </w:t>
      </w:r>
      <w:r>
        <w:t xml:space="preserve">tels que le score de</w:t>
      </w:r>
      <w:r>
        <w:t xml:space="preserve"> </w:t>
      </w:r>
      <w:r>
        <w:t xml:space="preserve">consommation alimentaire (SCA), l’indice réduit des stratégies de</w:t>
      </w:r>
      <w:r>
        <w:t xml:space="preserve"> </w:t>
      </w:r>
      <w:r>
        <w:t xml:space="preserve">survie (rCSI), et d’autres indicateurs de sécurité alimentaire et de</w:t>
      </w:r>
      <w:r>
        <w:t xml:space="preserve"> </w:t>
      </w:r>
      <w:r>
        <w:t xml:space="preserve">résilience.</w:t>
      </w:r>
    </w:p>
    <w:p>
      <w:pPr>
        <w:numPr>
          <w:ilvl w:val="0"/>
          <w:numId w:val="1001"/>
        </w:numPr>
        <w:pStyle w:val="Compact"/>
      </w:pPr>
      <w:r>
        <w:rPr>
          <w:bCs/>
          <w:b/>
        </w:rPr>
        <w:t xml:space="preserve">Illustrer les résultats à l’aide de représentations spatiales</w:t>
      </w:r>
      <w:r>
        <w:t xml:space="preserve"> </w:t>
      </w:r>
      <w:r>
        <w:t xml:space="preserve">pour comprendre comment ces indicateurs varient selon les</w:t>
      </w:r>
      <w:r>
        <w:t xml:space="preserve"> </w:t>
      </w:r>
      <w:r>
        <w:t xml:space="preserve">différentes régions et départements.</w:t>
      </w:r>
    </w:p>
    <w:p>
      <w:pPr>
        <w:numPr>
          <w:ilvl w:val="0"/>
          <w:numId w:val="1001"/>
        </w:numPr>
        <w:pStyle w:val="Compact"/>
      </w:pPr>
      <w:r>
        <w:rPr>
          <w:bCs/>
          <w:b/>
        </w:rPr>
        <w:t xml:space="preserve">Fournir des analyses descriptives et des visualisations</w:t>
      </w:r>
      <w:r>
        <w:t xml:space="preserve"> </w:t>
      </w:r>
      <w:r>
        <w:t xml:space="preserve">permettant de comprendre les comportements alimentaires, les</w:t>
      </w:r>
      <w:r>
        <w:t xml:space="preserve"> </w:t>
      </w:r>
      <w:r>
        <w:t xml:space="preserve">stratégies d’adaptation et la résilience des ménages.</w:t>
      </w:r>
    </w:p>
    <w:p>
      <w:r>
        <w:br w:type="page"/>
      </w:r>
    </w:p>
    <w:bookmarkEnd w:id="33"/>
    <w:bookmarkEnd w:id="34"/>
    <w:bookmarkStart w:id="38" w:name="préliminaires"/>
    <w:p>
      <w:pPr>
        <w:pStyle w:val="Titre1"/>
      </w:pPr>
      <w:r>
        <w:t xml:space="preserve">Préliminaires</w:t>
      </w:r>
    </w:p>
    <w:bookmarkStart w:id="35" w:name="installation-des-packages-necessaires"/>
    <w:p>
      <w:pPr>
        <w:pStyle w:val="Titre2"/>
      </w:pPr>
      <w:r>
        <w:t xml:space="preserve">Installation des packages necessaires</w:t>
      </w:r>
    </w:p>
    <w:p>
      <w:pPr>
        <w:pStyle w:val="FirstParagraph"/>
      </w:pPr>
      <w:r>
        <w:t xml:space="preserve">Dans le cadre de cette évaluation, plusieurs packages R ont été</w:t>
      </w:r>
      <w:r>
        <w:t xml:space="preserve"> </w:t>
      </w:r>
      <w:r>
        <w:t xml:space="preserve">mobilisés pour assurer à la fois la manipulation des données, leur</w:t>
      </w:r>
      <w:r>
        <w:t xml:space="preserve"> </w:t>
      </w:r>
      <w:r>
        <w:t xml:space="preserve">traitement statistique et la présentation des résultats. Les packages du</w:t>
      </w:r>
      <w:r>
        <w:t xml:space="preserve"> </w:t>
      </w:r>
      <w:r>
        <w:t xml:space="preserve">tidyverse ont permis d’effectuer des opérations essentielles telles que</w:t>
      </w:r>
      <w:r>
        <w:t xml:space="preserve"> </w:t>
      </w:r>
      <w:r>
        <w:t xml:space="preserve">l’importation, le nettoyage, la transformation et la visualisation des</w:t>
      </w:r>
      <w:r>
        <w:t xml:space="preserve"> </w:t>
      </w:r>
      <w:r>
        <w:t xml:space="preserve">données. Des outils complémentaires tels que janitor et labelled ont été</w:t>
      </w:r>
      <w:r>
        <w:t xml:space="preserve"> </w:t>
      </w:r>
      <w:r>
        <w:t xml:space="preserve">employés respectivement pour automatiser le nettoyage des variables</w:t>
      </w:r>
      <w:r>
        <w:t xml:space="preserve"> </w:t>
      </w:r>
      <w:r>
        <w:t xml:space="preserve">(notamment la normalisation des noms de colonnes) et pour gérer</w:t>
      </w:r>
      <w:r>
        <w:t xml:space="preserve"> </w:t>
      </w:r>
      <w:r>
        <w:t xml:space="preserve">efficacement les étiquettes de variables et de modalités. Par ailleurs,</w:t>
      </w:r>
      <w:r>
        <w:t xml:space="preserve"> </w:t>
      </w:r>
      <w:r>
        <w:t xml:space="preserve">le package haven a permis de lire des bases stata, tandis que sf a servi</w:t>
      </w:r>
      <w:r>
        <w:t xml:space="preserve"> </w:t>
      </w:r>
      <w:r>
        <w:t xml:space="preserve">à la gestion de données spatiales. Pour l’aspect la mise en forme des</w:t>
      </w:r>
      <w:r>
        <w:t xml:space="preserve"> </w:t>
      </w:r>
      <w:r>
        <w:t xml:space="preserve">résultats, des packages tels que gt, gtsummary, flextable, officer et</w:t>
      </w:r>
      <w:r>
        <w:t xml:space="preserve"> </w:t>
      </w:r>
      <w:r>
        <w:t xml:space="preserve">officedown ont été utilisés afin de générer des tableaux statistiques</w:t>
      </w:r>
      <w:r>
        <w:t xml:space="preserve"> </w:t>
      </w:r>
      <w:r>
        <w:t xml:space="preserve">clairs et adaptés à un rendu professionnel, notamment dans Word. glue a</w:t>
      </w:r>
      <w:r>
        <w:t xml:space="preserve"> </w:t>
      </w:r>
      <w:r>
        <w:t xml:space="preserve">facilité la génération dynamique de texte, et questionr (avec ireca été</w:t>
      </w:r>
      <w:r>
        <w:t xml:space="preserve"> </w:t>
      </w:r>
      <w:r>
        <w:t xml:space="preserve">utile pour des analyses rapides et descriptives sur les données à</w:t>
      </w:r>
      <w:r>
        <w:t xml:space="preserve"> </w:t>
      </w:r>
      <w:r>
        <w:t xml:space="preserve">travers l’interface offerte.</w:t>
      </w:r>
    </w:p>
    <w:bookmarkEnd w:id="35"/>
    <w:bookmarkStart w:id="36" w:name="chargement-des-bases-de-données"/>
    <w:p>
      <w:pPr>
        <w:pStyle w:val="Titre2"/>
      </w:pPr>
      <w:r>
        <w:t xml:space="preserve">Chargement des bases de données</w:t>
      </w:r>
    </w:p>
    <w:p>
      <w:pPr>
        <w:pStyle w:val="FirstParagraph"/>
      </w:pPr>
      <w:r>
        <w:t xml:space="preserve">Dans cette partie, les deux bases soumis à l’évaluation seront chargées</w:t>
      </w:r>
      <w:r>
        <w:t xml:space="preserve"> </w:t>
      </w:r>
      <w:r>
        <w:t xml:space="preserve">grace à la fonction read_dta de la bibliothèque haven.</w:t>
      </w:r>
    </w:p>
    <w:bookmarkEnd w:id="36"/>
    <w:bookmarkStart w:id="37" w:name="présentation-de-la-carte-du-tchad"/>
    <w:p>
      <w:pPr>
        <w:pStyle w:val="Titre2"/>
      </w:pPr>
      <w:r>
        <w:t xml:space="preserve">Présentation de la carte du Tchad</w:t>
      </w:r>
    </w:p>
    <w:p>
      <w:pPr>
        <w:pStyle w:val="FirstParagraph"/>
      </w:pPr>
      <w:r>
        <w:t xml:space="preserve">Avant d’entrer dans les analyses spatiales détaillées de nos indicateurs (SCA, rCSI, HDDS, rSCI, etc.), présentons d’abord la</w:t>
      </w:r>
      <w:r>
        <w:t xml:space="preserve"> </w:t>
      </w:r>
      <w:r>
        <w:rPr>
          <w:bCs/>
          <w:b/>
        </w:rPr>
        <w:t xml:space="preserve">carte administrative complète du Tchad</w:t>
      </w:r>
      <w:r>
        <w:t xml:space="preserve">.</w:t>
      </w:r>
    </w:p>
    <w:p>
      <w:pPr>
        <w:pStyle w:val="Corpsdetexte"/>
      </w:pPr>
      <m:oMathPara>
        <m:oMathParaPr>
          <m:jc m:val="center"/>
        </m:oMathParaPr>
        <m:oMath/>
      </m:oMathPara>
    </w:p>
    <w:p>
      <w:pPr>
        <w:pStyle w:val="FirstParagraph"/>
      </w:pPr>
      <w:r>
        <w:t xml:space="preserve">Dans les sections qui suivent, afin de garantir la lisibilité des cartes thématiques,</w:t>
      </w:r>
      <w:r>
        <w:t xml:space="preserve"> </w:t>
      </w:r>
      <w:r>
        <w:rPr>
          <w:bCs/>
          <w:b/>
        </w:rPr>
        <w:t xml:space="preserve">nous ne représenterons que les régions pour lesquelles nous disposons de valeurs non manquantes</w:t>
      </w:r>
      <w:r>
        <w:t xml:space="preserve"> </w:t>
      </w:r>
      <w:r>
        <w:t xml:space="preserve">pour l’indicateur étudié. C’est pourquoi cette carte globale, affichée ici en premier, sert de contexte et de légende spatiale de référence avant d’explorer les résultats par région.</w:t>
      </w:r>
    </w:p>
    <w:p>
      <w:pPr>
        <w:jc w:val="center"/>
        <w:pStyle w:val="Figure"/>
      </w:pPr>
      <w:r>
        <w:rPr/>
        <w:drawing>
          <wp:inline distT="0" distB="0" distL="0" distR="0">
            <wp:extent cx="5486400" cy="438912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51"/>
                    <a:stretch>
                      <a:fillRect/>
                    </a:stretch>
                  </pic:blipFill>
                  <pic:spPr bwMode="auto">
                    <a:xfrm>
                      <a:off x="0" y="0"/>
                      <a:ext cx="76200" cy="60960"/>
                    </a:xfrm>
                    <a:prstGeom prst="rect">
                      <a:avLst/>
                    </a:prstGeom>
                    <a:noFill/>
                  </pic:spPr>
                </pic:pic>
              </a:graphicData>
            </a:graphic>
          </wp:inline>
        </w:drawing>
      </w:r>
    </w:p>
    <w:p>
      <w:pPr>
        <w:pStyle w:val="ImageCaption"/>
      </w:pPr>
      <w:r>
        <w:rPr>
          <w:rFonts/>
          <w:b w:val="true"/>
        </w:rPr>
        <w:t xml:space="preserve">Figure </w:t>
      </w:r>
      <w:bookmarkStart w:id="3ba96442-0ba5-448d-949e-6af31a7359b2" w:name="carte_tchad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ba96442-0ba5-448d-949e-6af31a7359b2"/>
      <w:r>
        <w:rPr>
          <w:rFonts/>
          <w:b w:val="true"/>
        </w:rPr>
        <w:t xml:space="preserve">: </w:t>
      </w:r>
      <w:r>
        <w:t xml:space="preserve">Carte du Tchad</w:t>
      </w:r>
    </w:p>
    <w:p>
      <w:r>
        <w:br w:type="page"/>
      </w:r>
    </w:p>
    <w:bookmarkEnd w:id="37"/>
    <w:bookmarkEnd w:id="38"/>
    <w:bookmarkStart w:id="45" w:name="X9cd725f54fdfb436a03e00ce84445f3ad389fd5"/>
    <w:p>
      <w:pPr>
        <w:pStyle w:val="Titre1"/>
      </w:pPr>
      <w:r>
        <w:t xml:space="preserve">Analyse de la consistance des bases de données</w:t>
      </w:r>
    </w:p>
    <w:p>
      <w:pPr>
        <w:pStyle w:val="FirstParagraph"/>
      </w:pPr>
      <w:r>
        <w:t xml:space="preserve">Dans cette section, nous présentons successivement :</w:t>
      </w:r>
    </w:p>
    <w:p>
      <w:pPr>
        <w:numPr>
          <w:ilvl w:val="0"/>
          <w:numId w:val="1002"/>
        </w:numPr>
        <w:pStyle w:val="Compact"/>
      </w:pPr>
      <w:r>
        <w:rPr>
          <w:bCs/>
          <w:b/>
        </w:rPr>
        <w:t xml:space="preserve">La dimension des jeux de données</w:t>
      </w:r>
    </w:p>
    <w:p>
      <w:pPr>
        <w:numPr>
          <w:ilvl w:val="0"/>
          <w:numId w:val="1002"/>
        </w:numPr>
        <w:pStyle w:val="Compact"/>
      </w:pPr>
      <w:r>
        <w:rPr>
          <w:bCs/>
          <w:b/>
        </w:rPr>
        <w:t xml:space="preserve">La cohérence des données entre les différentes bases</w:t>
      </w:r>
    </w:p>
    <w:p>
      <w:pPr>
        <w:numPr>
          <w:ilvl w:val="0"/>
          <w:numId w:val="1002"/>
        </w:numPr>
        <w:pStyle w:val="Compact"/>
      </w:pPr>
      <w:r>
        <w:rPr>
          <w:bCs/>
          <w:b/>
        </w:rPr>
        <w:t xml:space="preserve">La visualisation des premières observations</w:t>
      </w:r>
    </w:p>
    <w:p>
      <w:pPr>
        <w:numPr>
          <w:ilvl w:val="0"/>
          <w:numId w:val="1002"/>
        </w:numPr>
        <w:pStyle w:val="Compact"/>
      </w:pPr>
      <w:r>
        <w:rPr>
          <w:bCs/>
          <w:b/>
        </w:rPr>
        <w:t xml:space="preserve">La détection et suppression des doublons</w:t>
      </w:r>
    </w:p>
    <w:p>
      <w:pPr>
        <w:numPr>
          <w:ilvl w:val="0"/>
          <w:numId w:val="1002"/>
        </w:numPr>
        <w:pStyle w:val="Compact"/>
      </w:pPr>
      <w:r>
        <w:rPr>
          <w:bCs/>
          <w:b/>
        </w:rPr>
        <w:t xml:space="preserve">L’analyse des valeurs manquantes</w:t>
      </w:r>
    </w:p>
    <w:p>
      <w:pPr>
        <w:numPr>
          <w:ilvl w:val="0"/>
          <w:numId w:val="1002"/>
        </w:numPr>
        <w:pStyle w:val="Compact"/>
      </w:pPr>
      <w:r>
        <w:rPr>
          <w:bCs/>
          <w:b/>
        </w:rPr>
        <w:t xml:space="preserve">La suppression des colonnes entièrement vides</w:t>
      </w:r>
    </w:p>
    <w:bookmarkStart w:id="39" w:name="dimension-des-bases-de-données"/>
    <w:p>
      <w:pPr>
        <w:pStyle w:val="Titre2"/>
      </w:pPr>
      <w:r>
        <w:t xml:space="preserve">Dimension des bases de données</w:t>
      </w:r>
    </w:p>
    <w:p>
      <w:pPr>
        <w:pStyle w:val="SourceCode"/>
      </w:pPr>
      <w:r>
        <w:rPr>
          <w:rStyle w:val="VerbatimChar"/>
        </w:rPr>
        <w:t xml:space="preserve">La base principale contient 8950 observations et 100 variables.</w:t>
      </w:r>
    </w:p>
    <w:p>
      <w:pPr>
        <w:pStyle w:val="SourceCode"/>
      </w:pPr>
      <w:r>
        <w:rPr>
          <w:rStyle w:val="VerbatimChar"/>
        </w:rPr>
        <w:t xml:space="preserve">La base MAD contient 2206 observations et 26 variables.</w:t>
      </w:r>
    </w:p>
    <w:p>
      <w:pPr>
        <w:pStyle w:val="FirstParagraph"/>
      </w:pPr>
      <m:oMathPara>
        <m:oMathParaPr>
          <m:jc m:val="center"/>
        </m:oMathParaPr>
        <m:oMath/>
      </m:oMathPara>
    </w:p>
    <w:bookmarkEnd w:id="39"/>
    <w:bookmarkStart w:id="40" w:name="X6b08d77f771b1589da6105bdd896f6a4a192573"/>
    <w:p>
      <w:pPr>
        <w:pStyle w:val="Titre2"/>
      </w:pPr>
      <w:r>
        <w:t xml:space="preserve">Vérification de la cohérence des liens entre bases</w:t>
      </w:r>
    </w:p>
    <w:p>
      <w:pPr>
        <w:pStyle w:val="FirstParagraph"/>
      </w:pPr>
      <w:r>
        <w:t xml:space="preserve">Nous allons vérifier s’il y a cohérence puisqu’il est dit que la base</w:t>
      </w:r>
      <w:r>
        <w:t xml:space="preserve"> </w:t>
      </w:r>
      <w:r>
        <w:t xml:space="preserve">MAD s’interesse aux mères ou aux personnes en charge des enfants âgés de</w:t>
      </w:r>
      <w:r>
        <w:t xml:space="preserve"> </w:t>
      </w:r>
      <w:r>
        <w:t xml:space="preserve">6 à 23 mois de le foyer.</w:t>
      </w:r>
    </w:p>
    <w:p>
      <w:pPr>
        <w:pStyle w:val="Corpsdetexte"/>
      </w:pPr>
      <m:oMathPara>
        <m:oMathParaPr>
          <m:jc m:val="center"/>
        </m:oMathParaPr>
        <m:oMath/>
      </m:oMathPara>
    </w:p>
    <w:p>
      <w:pPr>
        <w:pStyle w:val="SourceCode"/>
      </w:pPr>
      <w:r>
        <w:rPr>
          <w:rStyle w:val="VerbatimChar"/>
        </w:rPr>
        <w:t xml:space="preserve">Le nombre total d'enfants de 6 à 23 mois déclaré dans la base principale est de: 2956 </w:t>
      </w:r>
    </w:p>
    <w:p>
      <w:pPr>
        <w:pStyle w:val="SourceCode"/>
      </w:pPr>
      <w:r>
        <w:rPr>
          <w:rStyle w:val="VerbatimChar"/>
        </w:rPr>
        <w:t xml:space="preserve">Le nombre d'enfants observés dans la base MAD est de: 2206 </w:t>
      </w:r>
    </w:p>
    <w:p>
      <w:pPr>
        <w:pStyle w:val="FirstParagraph"/>
      </w:pPr>
      <m:oMathPara>
        <m:oMathParaPr>
          <m:jc m:val="center"/>
        </m:oMathParaPr>
        <m:oMath/>
      </m:oMathPara>
    </w:p>
    <w:p>
      <w:pPr>
        <w:pStyle w:val="FirstParagraph"/>
      </w:pPr>
      <w:r>
        <w:t xml:space="preserve">Nous voyons que le nombre d’enfants de 6 à 23 mois est de 2956 et la</w:t>
      </w:r>
      <w:r>
        <w:t xml:space="preserve"> </w:t>
      </w:r>
      <w:r>
        <w:t xml:space="preserve">taille de la base base_MAD est de 2204, et donc elle est inférieure. De</w:t>
      </w:r>
      <w:r>
        <w:t xml:space="preserve"> </w:t>
      </w:r>
      <w:r>
        <w:t xml:space="preserve">ce fait, nous notons qu’elle n’a pas réellement porté sur toute la dite</w:t>
      </w:r>
      <w:r>
        <w:t xml:space="preserve"> </w:t>
      </w:r>
      <w:r>
        <w:t xml:space="preserve">population de 6 à 23mois. Mais puisque la taille de la base_mad n’est</w:t>
      </w:r>
      <w:r>
        <w:t xml:space="preserve"> </w:t>
      </w:r>
      <w:r>
        <w:t xml:space="preserve">pas suppérieure, cela ne cree pas une incohérence.</w:t>
      </w:r>
    </w:p>
    <w:p>
      <w:pPr>
        <w:pStyle w:val="Corpsdetexte"/>
      </w:pPr>
      <m:oMathPara>
        <m:oMathParaPr>
          <m:jc m:val="center"/>
        </m:oMathParaPr>
        <m:oMath/>
      </m:oMathPara>
    </w:p>
    <w:p>
      <w:pPr>
        <w:pStyle w:val="FirstParagraph"/>
      </w:pPr>
      <w:r>
        <w:t xml:space="preserve">Après verification pour confirmer que tous les ages des enfants dans</w:t>
      </w:r>
      <w:r>
        <w:t xml:space="preserve"> </w:t>
      </w:r>
      <w:r>
        <w:t xml:space="preserve">Mad_principale sont être entre 6 et 23 mois, nous obtenons que:</w:t>
      </w:r>
    </w:p>
    <w:p>
      <w:pPr>
        <w:pStyle w:val="SourceCode"/>
      </w:pPr>
      <w:r>
        <w:rPr>
          <w:rStyle w:val="VerbatimChar"/>
        </w:rPr>
        <w:t xml:space="preserve">Le nombre d'enfants dont l'âge est en dehors de la plage 6-23 mois est de: 0 </w:t>
      </w:r>
    </w:p>
    <w:bookmarkEnd w:id="40"/>
    <w:bookmarkStart w:id="41" w:name="affichage-des-8-premières-lignes"/>
    <w:p>
      <w:pPr>
        <w:pStyle w:val="Titre2"/>
      </w:pPr>
      <w:r>
        <w:t xml:space="preserve">Affichage des 8 premières lignes</w:t>
      </w:r>
    </w:p>
    <w:p>
      <w:pPr>
        <w:pStyle w:val="FirstParagraph"/>
      </w:pPr>
      <w:r>
        <w:t xml:space="preserve">Nous allons visualiser les premières lignes de la base base_mad pour</w:t>
      </w:r>
      <w:r>
        <w:t xml:space="preserve"> </w:t>
      </w:r>
      <w:r>
        <w:t xml:space="preserve">voir leur structure.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base_mad</w:t>
      </w:r>
    </w:p>
    <w:tbl xmlns:w14="http://schemas.microsoft.com/office/word/2010/wordml">
      <w:tblPr>
        <w:tblLayout w:type="autofit"/>
        <w:jc w:val="center"/>
        <w:tblW w:type="pct" w:w="5000"/>
        <w:tblLook w:firstRow="1" w:lastRow="0" w:firstColumn="0" w:lastColumn="0" w:noHBand="0" w:noVBand="1"/>
      </w:tblPr>
      <w:tr>
        <w:trPr>
          <w:trHeight w:val="629"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MAD_sex</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Age en mois de ${MAD_name}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EverBreastF</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PCIYCBreastF</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Formule infantile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Lait (en poudre, lait frais d'animaux, autre)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Yaourt, lait caille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Préparation pour bébé – type bouillie légère</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Homme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w:t>
            </w:r>
          </w:p>
        </w:tc>
      </w:tr>
      <w:tr>
        <w:trPr>
          <w:trHeight w:val="57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w:t>
            </w:r>
          </w:p>
        </w:tc>
      </w:tr>
      <w:tr>
        <w:trPr>
          <w:trHeight w:val="57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Homme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w:t>
            </w:r>
          </w:p>
        </w:tc>
      </w:tr>
    </w:tbl>
    <w:p>
      <w:pPr>
        <w:pStyle w:val="Corpsdetexte"/>
      </w:pPr>
      <m:oMathPara>
        <m:oMathParaPr>
          <m:jc m:val="center"/>
        </m:oMathParaPr>
        <m:oMath/>
      </m:oMathPara>
    </w:p>
    <w:p>
      <w:pPr>
        <w:pStyle w:val="FirstParagraph"/>
      </w:pPr>
      <w:r>
        <w:t xml:space="preserve">Nous allons également visualiser les premières lignes de la base</w:t>
      </w:r>
      <w:r>
        <w:t xml:space="preserve"> </w:t>
      </w:r>
      <w:r>
        <w:t xml:space="preserve">base_principale pour voir leur structure.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base_mad</w:t>
      </w:r>
    </w:p>
    <w:tbl xmlns:w14="http://schemas.microsoft.com/office/word/2010/wordml">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_id</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Interview Date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Annee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Interview Month (imputed to link with IPC)</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Type d'enquête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Nom du pays</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Admin 0 ID</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Region (ADMIN1) where the household is located</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30405632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Lac</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30301697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Kanem</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30273268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Batha</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30301456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Kanem</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31060059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2023-01-01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Ouaddai</w:t>
            </w:r>
          </w:p>
        </w:tc>
      </w:tr>
      <w:tr>
        <w:trPr>
          <w:trHeight w:val="61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30406541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Lac</w:t>
            </w:r>
          </w:p>
        </w:tc>
      </w:tr>
    </w:tbl>
    <w:p>
      <w:pPr>
        <w:pStyle w:val="Corpsdetexte"/>
      </w:pPr>
      <m:oMathPara>
        <m:oMathParaPr>
          <m:jc m:val="center"/>
        </m:oMathParaPr>
        <m:oMath/>
      </m:oMathPara>
    </w:p>
    <w:bookmarkEnd w:id="41"/>
    <w:bookmarkStart w:id="42" w:name="Xa387d2cfe583f921b14d4ac2b0dc7fdeb3ebc18"/>
    <w:p>
      <w:pPr>
        <w:pStyle w:val="Titre2"/>
      </w:pPr>
      <w:r>
        <w:t xml:space="preserve">Présence de doublons dans les bases de données</w:t>
      </w:r>
    </w:p>
    <w:p>
      <w:pPr>
        <w:pStyle w:val="FirstParagraph"/>
      </w:pPr>
      <w:r>
        <w:t xml:space="preserve">Commencons l’analyse des doublons par la base base_mad.</w:t>
      </w:r>
    </w:p>
    <w:p>
      <w:pPr>
        <w:pStyle w:val="SourceCode"/>
      </w:pPr>
      <w:r>
        <w:rPr>
          <w:rStyle w:val="VerbatimChar"/>
        </w:rPr>
        <w:t xml:space="preserve">La base base_mad contient 2 doublons.</w:t>
      </w:r>
    </w:p>
    <w:p>
      <w:pPr>
        <w:pStyle w:val="FirstParagraph"/>
      </w:pPr>
      <w:r>
        <w:t xml:space="preserve">Nous avons deux lignes se repetant entièrement, de ce fait, nous allons</w:t>
      </w:r>
      <w:r>
        <w:t xml:space="preserve"> </w:t>
      </w:r>
      <w:r>
        <w:t xml:space="preserve">supprimer l’une d’elles.</w:t>
      </w:r>
    </w:p>
    <w:p>
      <w:pPr>
        <w:pStyle w:val="SourceCode"/>
      </w:pPr>
      <w:r>
        <w:rPr>
          <w:rStyle w:val="VerbatimChar"/>
        </w:rPr>
        <w:t xml:space="preserve">La base base_mad contient désormais 2204 lignes sans doublons. </w:t>
      </w:r>
    </w:p>
    <w:p>
      <w:pPr>
        <w:pStyle w:val="FirstParagraph"/>
      </w:pPr>
      <m:oMathPara>
        <m:oMathParaPr>
          <m:jc m:val="center"/>
        </m:oMathParaPr>
        <m:oMath/>
      </m:oMathPara>
    </w:p>
    <w:p>
      <w:pPr>
        <w:pStyle w:val="FirstParagraph"/>
      </w:pPr>
      <w:r>
        <w:t xml:space="preserve">Faisons de meme avec la base base_principale.</w:t>
      </w:r>
    </w:p>
    <w:p>
      <w:pPr>
        <w:pStyle w:val="SourceCode"/>
      </w:pPr>
      <w:r>
        <w:rPr>
          <w:rStyle w:val="VerbatimChar"/>
        </w:rPr>
        <w:t xml:space="preserve">La base base_principale contient 0 doublon. </w:t>
      </w:r>
    </w:p>
    <w:p>
      <w:pPr>
        <w:pStyle w:val="FirstParagraph"/>
      </w:pPr>
      <m:oMathPara>
        <m:oMathParaPr>
          <m:jc m:val="center"/>
        </m:oMathParaPr>
        <m:oMath/>
      </m:oMathPara>
    </w:p>
    <w:p>
      <w:pPr>
        <w:pStyle w:val="FirstParagraph"/>
      </w:pPr>
      <w:r>
        <w:t xml:space="preserve">Vérifions aussi la présence de doublon sur la variable id, qui est</w:t>
      </w:r>
      <w:r>
        <w:t xml:space="preserve"> </w:t>
      </w:r>
      <w:r>
        <w:t xml:space="preserve">censée representer de maniere unique les menages.</w:t>
      </w:r>
    </w:p>
    <w:p>
      <w:pPr>
        <w:pStyle w:val="SourceCode"/>
      </w:pPr>
      <w:r>
        <w:rPr>
          <w:rStyle w:val="VerbatimChar"/>
        </w:rPr>
        <w:t xml:space="preserve">Nombre de doublons trouvés dans la base base_principale sur la variable id est de :  0 </w:t>
      </w:r>
    </w:p>
    <w:p>
      <w:pPr>
        <w:pStyle w:val="FirstParagraph"/>
      </w:pPr>
      <m:oMathPara>
        <m:oMathParaPr>
          <m:jc m:val="center"/>
        </m:oMathParaPr>
        <m:oMath/>
      </m:oMathPara>
    </w:p>
    <w:p>
      <w:pPr>
        <w:pStyle w:val="FirstParagraph"/>
      </w:pPr>
      <w:r>
        <w:t xml:space="preserve">De ce fait, les ID identifient bien de manière unique les menages.</w:t>
      </w:r>
    </w:p>
    <w:bookmarkEnd w:id="42"/>
    <w:bookmarkStart w:id="43" w:name="présence-de-valeurs-manquantes"/>
    <w:p>
      <w:pPr>
        <w:pStyle w:val="Titre2"/>
      </w:pPr>
      <w:r>
        <w:t xml:space="preserve">Présence de valeurs manquantes</w:t>
      </w:r>
    </w:p>
    <w:p>
      <w:pPr>
        <w:pStyle w:val="FirstParagraph"/>
      </w:pPr>
      <w:r>
        <w:t xml:space="preserve">Pourcentage de valeurs manquantes par variable dans la base base_mad.</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 Variables avec valeurs manquantes dans base_mad</w:t>
      </w:r>
    </w:p>
    <w:tbl xmlns:w14="http://schemas.microsoft.com/office/word/2010/wordml">
      <w:tblPr>
        <w:tblLayout w:type="fixed"/>
        <w:jc w:val="center"/>
        <w:tblLook w:firstRow="1" w:lastRow="0" w:firstColumn="0" w:lastColumn="0" w:noHBand="0" w:noVBand="1"/>
      </w:tblPr>
      <w:tblGrid>
        <w:gridCol w:w="1411"/>
        <w:gridCol w:w="1651"/>
        <w:gridCol w:w="1571"/>
      </w:tblGrid>
      <w:tr>
        <w:trPr>
          <w:trHeight w:val="580"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**N missings**</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w:rPr>
                <w:rFonts w:ascii="Arial" w:hAnsi="Arial" w:eastAsia="Arial" w:cs="Arial"/>
                <w:i w:val="false"/>
                <w:b w:val="true"/>
                <w:u w:val="none"/>
                <w:sz w:val="18"/>
                <w:szCs w:val="18"/>
                <w:color w:val="000000"/>
              </w:rPr>
              <w:t xml:space="preserve">**% Missing**</w:t>
            </w:r>
          </w:p>
        </w:tc>
      </w:tr>
      <w:tr>
        <w:trPr>
          <w:trHeight w:val="546"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EverBreastF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0.3%</w:t>
            </w:r>
          </w:p>
        </w:tc>
      </w:tr>
    </w:tbl>
    <w:p>
      <w:pPr>
        <w:pStyle w:val="Corpsdetexte"/>
      </w:pPr>
      <m:oMathPara>
        <m:oMathParaPr>
          <m:jc m:val="center"/>
        </m:oMathParaPr>
        <m:oMath/>
      </m:oMathPara>
    </w:p>
    <w:p>
      <w:pPr>
        <w:pStyle w:val="FirstParagraph"/>
      </w:pPr>
      <w:r>
        <w:t xml:space="preserve">Nous remarquons que la variable EverBreastF a 7 valeurs manquantes.</w:t>
      </w:r>
      <w:r>
        <w:t xml:space="preserve"> </w:t>
      </w:r>
      <w:r>
        <w:t xml:space="preserve">Après vérification des lignes où il y a des na, et des informations des</w:t>
      </w:r>
      <w:r>
        <w:t xml:space="preserve"> </w:t>
      </w:r>
      <w:r>
        <w:t xml:space="preserve">enfants du meme menage, nous ne trouvons pas d’informations qui nous</w:t>
      </w:r>
      <w:r>
        <w:t xml:space="preserve"> </w:t>
      </w:r>
      <w:r>
        <w:t xml:space="preserve">permettra de faire une bonne imputation, de ce fait, nous allons laisser</w:t>
      </w:r>
      <w:r>
        <w:t xml:space="preserve"> </w:t>
      </w:r>
      <w:r>
        <w:t xml:space="preserve">ainsi.</w:t>
      </w:r>
    </w:p>
    <w:p>
      <w:pPr>
        <w:pStyle w:val="Corpsdetexte"/>
      </w:pPr>
      <m:oMathPara>
        <m:oMathParaPr>
          <m:jc m:val="center"/>
        </m:oMathParaPr>
        <m:oMath/>
      </m:oMathPara>
    </w:p>
    <w:p>
      <w:pPr>
        <w:pStyle w:val="FirstParagraph"/>
      </w:pPr>
      <w:r>
        <w:t xml:space="preserve">A présent, visualisation le pourcentage de valeurs manquantes par</w:t>
      </w:r>
      <w:r>
        <w:t xml:space="preserve"> </w:t>
      </w:r>
      <w:r>
        <w:t xml:space="preserve">variable dans la base base_principale.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 Variables avec valeurs manquantes dans base_principale</w:t>
      </w:r>
    </w:p>
    <w:tbl xmlns:w14="http://schemas.microsoft.com/office/word/2010/wordml">
      <w:tblPr>
        <w:tblLayout w:type="autofit"/>
        <w:jc w:val="center"/>
        <w:tblW w:type="pct" w:w="5000"/>
        <w:tblLook w:firstRow="1" w:lastRow="0" w:firstColumn="0" w:lastColumn="0" w:noHBand="0" w:noVBand="1"/>
      </w:tblPr>
      <w:tr>
        <w:trPr>
          <w:trHeight w:val="347" w:hRule="auto"/>
          <w:tblHeader/>
        </w:trPr>
        header 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**N missing**</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 missing**</w:t>
            </w:r>
          </w:p>
        </w:tc>
      </w:tr>
      <w:tr>
        <w:trPr>
          <w:trHeight w:val="33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HHHEdu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33.8%</w:t>
            </w:r>
          </w:p>
        </w:tc>
      </w:tr>
      <w:tr>
        <w:trPr>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HHHMainActivity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100.0%</w:t>
            </w:r>
          </w:p>
        </w:tc>
      </w:tr>
      <w:tr>
        <w:trPr>
          <w:trHeight w:val="33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HHHMatrimonial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100.0%</w:t>
            </w:r>
          </w:p>
        </w:tc>
      </w:tr>
      <w:tr>
        <w:trPr>
          <w:trHeight w:val="33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HHSourceIncome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80.9%</w:t>
            </w:r>
          </w:p>
        </w:tc>
      </w:tr>
      <w:tr>
        <w:trPr>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HDDS_CH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63.2%</w:t>
            </w:r>
          </w:p>
        </w:tc>
      </w:tr>
      <w:tr>
        <w:trPr>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HDDSStapCer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0.3%</w:t>
            </w:r>
          </w:p>
        </w:tc>
      </w:tr>
      <w:tr>
        <w:trPr>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HDDSStapRoot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0.3%</w:t>
            </w:r>
          </w:p>
        </w:tc>
      </w:tr>
      <w:tr>
        <w:trPr>
          <w:trHeight w:val="33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HDDSPulse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18.8%</w:t>
            </w:r>
          </w:p>
        </w:tc>
      </w:tr>
      <w:tr>
        <w:trPr>
          <w:trHeight w:val="34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HDDSVegOrg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54.5%</w:t>
            </w:r>
          </w:p>
        </w:tc>
      </w:tr>
      <w:tr>
        <w:trPr>
          <w:trHeight w:val="3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HDDSVegGre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34.6%</w:t>
            </w:r>
          </w:p>
        </w:tc>
      </w:tr>
      <w:tr>
        <w:trPr>
          <w:trHeight w:val="34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HDDSVegOth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26.2%</w:t>
            </w:r>
          </w:p>
        </w:tc>
      </w:tr>
      <w:tr>
        <w:trPr>
          <w:trHeight w:val="34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HDDSFruitOrg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61.4%</w:t>
            </w:r>
          </w:p>
        </w:tc>
      </w:tr>
      <w:tr>
        <w:trPr>
          <w:trHeight w:val="33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HDDSFruitOth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58.1%</w:t>
            </w:r>
          </w:p>
        </w:tc>
      </w:tr>
      <w:tr>
        <w:trPr>
          <w:trHeight w:val="33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HDDSPrMeatF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30.5%</w:t>
            </w:r>
          </w:p>
        </w:tc>
      </w:tr>
      <w:tr>
        <w:trPr>
          <w:trHeight w:val="33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HDDSPrMeatO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53.5%</w:t>
            </w:r>
          </w:p>
        </w:tc>
      </w:tr>
      <w:tr>
        <w:trPr>
          <w:trHeight w:val="33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HDDSPrFish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39.2%</w:t>
            </w:r>
          </w:p>
        </w:tc>
      </w:tr>
      <w:tr>
        <w:trPr>
          <w:trHeight w:val="3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HDDSPrEgg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59.8%</w:t>
            </w:r>
          </w:p>
        </w:tc>
      </w:tr>
      <w:tr>
        <w:trPr>
          <w:trHeight w:val="34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HDDSDairy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28.5%</w:t>
            </w:r>
          </w:p>
        </w:tc>
      </w:tr>
      <w:tr>
        <w:trPr>
          <w:trHeight w:val="3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HDDSSugar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8.7%</w:t>
            </w:r>
          </w:p>
        </w:tc>
      </w:tr>
      <w:tr>
        <w:trPr>
          <w:trHeight w:val="3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HDDSFat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w:t>
            </w:r>
          </w:p>
        </w:tc>
      </w:tr>
      <w:tr>
        <w:trPr>
          <w:trHeight w:val="3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HDDSCond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w:t>
            </w:r>
          </w:p>
        </w:tc>
      </w:tr>
      <w:tr>
        <w:trPr>
          <w:trHeight w:val="34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FCSStapSRf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0.6%</w:t>
            </w:r>
          </w:p>
        </w:tc>
      </w:tr>
      <w:tr>
        <w:trPr>
          <w:trHeight w:val="33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FCSPulseSRf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28.1%</w:t>
            </w:r>
          </w:p>
        </w:tc>
      </w:tr>
      <w:tr>
        <w:trPr>
          <w:trHeight w:val="34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FCSDairySRf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45.2%</w:t>
            </w:r>
          </w:p>
        </w:tc>
      </w:tr>
      <w:tr>
        <w:trPr>
          <w:trHeight w:val="335"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100.0%</w:t>
            </w:r>
          </w:p>
        </w:tc>
      </w:tr>
      <w:tr>
        <w:trPr>
          <w:trHeight w:val="335"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FCSPrMeatF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19.5%</w:t>
            </w:r>
          </w:p>
        </w:tc>
      </w:tr>
      <w:tr>
        <w:trPr>
          <w:trHeight w:val="335"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FCSPrMeatO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19.5%</w:t>
            </w:r>
          </w:p>
        </w:tc>
      </w:tr>
      <w:tr>
        <w:trPr>
          <w:trHeight w:val="33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19.5%</w:t>
            </w:r>
          </w:p>
        </w:tc>
      </w:tr>
      <w:tr>
        <w:trPr>
          <w:trHeight w:val="34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FCSPrEgg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19.5%</w:t>
            </w:r>
          </w:p>
        </w:tc>
      </w:tr>
      <w:tr>
        <w:trPr>
          <w:trHeight w:val="34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FCSVegSRf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88.7%</w:t>
            </w:r>
          </w:p>
        </w:tc>
      </w:tr>
      <w:tr>
        <w:trPr>
          <w:trHeight w:val="34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FCSVegOrg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25.5%</w:t>
            </w:r>
          </w:p>
        </w:tc>
      </w:tr>
      <w:tr>
        <w:trPr>
          <w:trHeight w:val="34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FCSVegGre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26.2%</w:t>
            </w:r>
          </w:p>
        </w:tc>
      </w:tr>
      <w:tr>
        <w:trPr>
          <w:trHeight w:val="33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FCSFruitSRf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96.9%</w:t>
            </w:r>
          </w:p>
        </w:tc>
      </w:tr>
      <w:tr>
        <w:trPr>
          <w:trHeight w:val="34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FCSFruitOrg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85.9%</w:t>
            </w:r>
          </w:p>
        </w:tc>
      </w:tr>
      <w:tr>
        <w:trPr>
          <w:trHeight w:val="31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FCSFatSRf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6.4%</w:t>
            </w:r>
          </w:p>
        </w:tc>
      </w:tr>
      <w:tr>
        <w:trPr>
          <w:trHeight w:val="34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FCSSugarSRf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12.8%</w:t>
            </w:r>
          </w:p>
        </w:tc>
      </w:tr>
      <w:tr>
        <w:trPr>
          <w:trHeight w:val="31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FCSCondSRf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w:t>
            </w:r>
          </w:p>
        </w:tc>
      </w:tr>
      <w:tr>
        <w:trPr>
          <w:trHeight w:val="34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SERSPreparerFuture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0.6%</w:t>
            </w:r>
          </w:p>
        </w:tc>
      </w:tr>
      <w:tr>
        <w:trPr>
          <w:trHeight w:val="318" w:hRule="auto"/>
        </w:trPr>
        body39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SERSAvertissementEven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0.8%</w:t>
            </w:r>
          </w:p>
        </w:tc>
      </w:tr>
    </w:tbl>
    <w:p>
      <w:pPr>
        <w:pStyle w:val="Corpsdetexte"/>
      </w:pPr>
      <m:oMathPara>
        <m:oMathParaPr>
          <m:jc m:val="center"/>
        </m:oMathParaPr>
        <m:oMath/>
      </m:oMathPara>
    </w:p>
    <w:p>
      <w:pPr>
        <w:pStyle w:val="FirstParagraph"/>
      </w:pPr>
      <w:r>
        <w:t xml:space="preserve">Dans cette base nous constatons un nombre plus élevé de valeurs</w:t>
      </w:r>
      <w:r>
        <w:t xml:space="preserve"> </w:t>
      </w:r>
      <w:r>
        <w:t xml:space="preserve">manquantes sur différentes bases. Mais puisque nous ne disposons pas</w:t>
      </w:r>
      <w:r>
        <w:t xml:space="preserve"> </w:t>
      </w:r>
      <w:r>
        <w:t xml:space="preserve">d’informations pour de potentielles imputations, nous laisserons ainsi</w:t>
      </w:r>
      <w:r>
        <w:t xml:space="preserve"> </w:t>
      </w:r>
      <w:r>
        <w:t xml:space="preserve">tout en prenant le soin de ne pas les considérer dans les calculs qui</w:t>
      </w:r>
      <w:r>
        <w:t xml:space="preserve"> </w:t>
      </w:r>
      <w:r>
        <w:t xml:space="preserve">vont suivre.</w:t>
      </w:r>
    </w:p>
    <w:bookmarkEnd w:id="43"/>
    <w:bookmarkStart w:id="44" w:name="suppression-des-colonnes-vides"/>
    <w:p>
      <w:pPr>
        <w:pStyle w:val="Titre2"/>
      </w:pPr>
      <w:r>
        <w:t xml:space="preserve">Suppression des colonnes vides</w:t>
      </w:r>
    </w:p>
    <w:p>
      <w:pPr>
        <w:pStyle w:val="FirstParagraph"/>
      </w:pPr>
      <w:r>
        <w:t xml:space="preserve">Grace à la fonction remove_empty de Janitor, nous allons supprimer les</w:t>
      </w:r>
      <w:r>
        <w:t xml:space="preserve"> </w:t>
      </w:r>
      <w:r>
        <w:t xml:space="preserve">colonnes vides.</w:t>
      </w:r>
    </w:p>
    <w:p>
      <w:pPr>
        <w:pStyle w:val="Corpsdetexte"/>
      </w:pPr>
      <m:oMathPara>
        <m:oMathParaPr>
          <m:jc m:val="center"/>
        </m:oMathParaPr>
        <m:oMath/>
      </m:oMathPara>
    </w:p>
    <w:p>
      <w:pPr>
        <w:pStyle w:val="FirstParagraph"/>
      </w:pPr>
      <w:r>
        <w:t xml:space="preserve">Après application, la nouvelle dimension de la base base_principale est</w:t>
      </w:r>
      <w:r>
        <w:t xml:space="preserve"> </w:t>
      </w:r>
      <w:r>
        <w:t xml:space="preserve">de:</w:t>
      </w:r>
    </w:p>
    <w:p>
      <w:pPr>
        <w:pStyle w:val="SourceCode"/>
      </w:pPr>
      <w:r>
        <w:rPr>
          <w:rStyle w:val="VerbatimChar"/>
        </w:rPr>
        <w:t xml:space="preserve">[1] 8950   97</w:t>
      </w:r>
    </w:p>
    <w:p>
      <w:pPr>
        <w:pStyle w:val="FirstParagraph"/>
      </w:pPr>
      <w:r>
        <w:t xml:space="preserve">Ainsi nous notons que 3 colonnes ont été supprimées dans la base</w:t>
      </w:r>
      <w:r>
        <w:t xml:space="preserve"> </w:t>
      </w:r>
      <w:r>
        <w:t xml:space="preserve">principale.</w:t>
      </w:r>
    </w:p>
    <w:p>
      <w:pPr>
        <w:pStyle w:val="Corpsdetexte"/>
      </w:pPr>
      <m:oMathPara>
        <m:oMathParaPr>
          <m:jc m:val="center"/>
        </m:oMathParaPr>
        <m:oMath/>
      </m:oMathPara>
    </w:p>
    <w:p>
      <w:pPr>
        <w:pStyle w:val="FirstParagraph"/>
      </w:pPr>
      <w:r>
        <w:t xml:space="preserve">Faisons de meme pour la base_mad:</w:t>
      </w:r>
    </w:p>
    <w:p>
      <w:pPr>
        <w:pStyle w:val="Corpsdetexte"/>
      </w:pPr>
      <w:r>
        <w:t xml:space="preserve">La nouvelle dimension de la base est de:</w:t>
      </w:r>
    </w:p>
    <w:p>
      <w:pPr>
        <w:pStyle w:val="Corpsdetexte"/>
      </w:pPr>
      <m:oMathPara>
        <m:oMathParaPr>
          <m:jc m:val="center"/>
        </m:oMathParaPr>
        <m:oMath/>
      </m:oMathPara>
    </w:p>
    <w:p>
      <w:pPr>
        <w:pStyle w:val="SourceCode"/>
      </w:pPr>
      <w:r>
        <w:rPr>
          <w:rStyle w:val="VerbatimChar"/>
        </w:rPr>
        <w:t xml:space="preserve">[1] 2204   26</w:t>
      </w:r>
    </w:p>
    <w:p>
      <w:pPr>
        <w:pStyle w:val="FirstParagraph"/>
      </w:pPr>
      <w:r>
        <w:t xml:space="preserve">Ici, aucune colonne n’a été supprimé.</w:t>
      </w:r>
    </w:p>
    <w:p>
      <w:r>
        <w:br w:type="page"/>
      </w:r>
    </w:p>
    <w:bookmarkEnd w:id="44"/>
    <w:bookmarkEnd w:id="45"/>
    <w:bookmarkStart w:id="81" w:name="Xedab68ea28ba89fe91afae1e31b210785e19e32"/>
    <w:p>
      <w:pPr>
        <w:pStyle w:val="Titre1"/>
      </w:pPr>
      <w:r>
        <w:t xml:space="preserve">Analyse des données et calcul d’indicateurs</w:t>
      </w:r>
    </w:p>
    <w:p>
      <w:pPr>
        <w:pStyle w:val="FirstParagraph"/>
      </w:pPr>
      <w:r>
        <w:t xml:space="preserve">Cette section couvre l’analyse socio-démographique des ménages ainsi que</w:t>
      </w:r>
      <w:r>
        <w:t xml:space="preserve"> </w:t>
      </w:r>
      <w:r>
        <w:t xml:space="preserve">le calcul d’indicateurs.</w:t>
      </w:r>
    </w:p>
    <w:p>
      <w:pPr>
        <w:pStyle w:val="Corpsdetexte"/>
      </w:pPr>
      <m:oMathPara>
        <m:oMathParaPr>
          <m:jc m:val="center"/>
        </m:oMathParaPr>
        <m:oMath/>
      </m:oMathPara>
    </w:p>
    <w:bookmarkStart w:id="48" w:name="analyse-socio-démographique-des-ménages"/>
    <w:p>
      <w:pPr>
        <w:pStyle w:val="Titre2"/>
      </w:pPr>
      <w:r>
        <w:t xml:space="preserve">Analyse socio-démographique des ménages</w:t>
      </w:r>
    </w:p>
    <w:p>
      <w:pPr>
        <w:pStyle w:val="FirstParagraph"/>
      </w:pPr>
      <w:r>
        <w:t xml:space="preserve">Pour réaliser une analyse socio-démographique des ménages à partir de la</w:t>
      </w:r>
      <w:r>
        <w:t xml:space="preserve"> </w:t>
      </w:r>
      <w:r>
        <w:t xml:space="preserve">base de données base_principale, nous allons principalement utiliser le</w:t>
      </w:r>
      <w:r>
        <w:t xml:space="preserve"> </w:t>
      </w:r>
      <w:r>
        <w:t xml:space="preserve">package gtsummary. Ce package permet de créer des résumés statistiques</w:t>
      </w:r>
      <w:r>
        <w:t xml:space="preserve"> </w:t>
      </w:r>
      <w:r>
        <w:t xml:space="preserve">détaillés des variables, en offrant à la fois des statistiques</w:t>
      </w:r>
      <w:r>
        <w:t xml:space="preserve"> </w:t>
      </w:r>
      <w:r>
        <w:t xml:space="preserve">descriptives et la possibilité de visualiser les données sous forme de</w:t>
      </w:r>
      <w:r>
        <w:t xml:space="preserve"> </w:t>
      </w:r>
      <w:r>
        <w:t xml:space="preserve">tableaux bien formatés. Nous allons de ce fait nous intéresser aux</w:t>
      </w:r>
      <w:r>
        <w:t xml:space="preserve"> </w:t>
      </w:r>
      <w:r>
        <w:t xml:space="preserve">variables renseignant sur les caracteristiques démographiques du menage.</w:t>
      </w:r>
    </w:p>
    <w:p>
      <w:pPr>
        <w:pStyle w:val="Corpsdetexte"/>
      </w:pPr>
      <m:oMathPara>
        <m:oMathParaPr>
          <m:jc m:val="center"/>
        </m:oMathParaPr>
        <m:oMath/>
      </m:oMathPara>
    </w:p>
    <w:bookmarkStart w:id="46" w:name="Xe8d991d17f608a83e774bdec616c4bd10519d4e"/>
    <w:p>
      <w:pPr>
        <w:pStyle w:val="Titre30"/>
      </w:pPr>
      <w:r>
        <w:t xml:space="preserve">Analyse de la taille et de la composition des menages</w:t>
      </w:r>
    </w:p>
    <w:p>
      <w:pPr>
        <w:pStyle w:val="FirstParagraph"/>
      </w:pPr>
      <w:r>
        <w:t xml:space="preserve">Dans cette section, nous calculons et présentons un résumé statistique</w:t>
      </w:r>
      <w:r>
        <w:t xml:space="preserve"> </w:t>
      </w:r>
      <w:r>
        <w:t xml:space="preserve">détaillé de la taille et de la composition des ménages dans</w:t>
      </w:r>
      <w:r>
        <w:t xml:space="preserve"> </w:t>
      </w:r>
      <w:r>
        <w:rPr>
          <w:bCs/>
          <w:b/>
        </w:rPr>
        <w:t xml:space="preserve">base_principale</w:t>
      </w:r>
      <w:r>
        <w:t xml:space="preserve">.</w:t>
      </w:r>
      <w:r>
        <w:br/>
      </w:r>
      <w:r>
        <w:t xml:space="preserve">Nous afficherons pour chaque tranche d’âge et par genre le nombre moyen</w:t>
      </w:r>
      <w:r>
        <w:t xml:space="preserve"> </w:t>
      </w:r>
      <w:r>
        <w:t xml:space="preserve">de membres, ainsi que l’écart-type. Ceci est fait grace à la fonction</w:t>
      </w:r>
      <w:r>
        <w:t xml:space="preserve"> </w:t>
      </w:r>
      <w:r>
        <w:t xml:space="preserve">Gt_summary.</w:t>
      </w:r>
    </w:p>
    <w:p>
      <w:pPr>
        <w:pStyle w:val="Corpsdetexte"/>
      </w:pPr>
      <m:oMathPara>
        <m:oMathParaPr>
          <m:jc m:val="center"/>
        </m:oMathParaPr>
        <m:oMath/>
      </m:oMathPara>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Composition du ménage</w:t>
            </w:r>
          </w:p>
        </w:tc>
      </w:tr>
      <w:tr>
        <w:trPr>
          <w:trHeight w:val="294" w:hRule="auto"/>
          <w:tblHeader/>
        </w:trPr>
        header 2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Moyenne (sd)</w:t>
            </w:r>
            <w:r>
              <w:rPr>
                <w:rFonts w:ascii="Arial" w:hAnsi="Arial" w:eastAsia="Arial" w:cs="Arial"/>
                <w:i w:val="false"/>
                <w:b w:val="tru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**Taille du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7.5 (12.9)</w:t>
            </w:r>
          </w:p>
        </w:tc>
      </w:tr>
      <w:tr>
        <w:trPr>
          <w:trHeight w:val="29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**Garçons 0–5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8,406 (94%)</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524 (5.9%)</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 (&lt;0.1%)</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 (&lt;0.1%)</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 (&lt;0.1%)</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 (&lt;0.1%)</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 (&lt;0.1%)</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 (&lt;0.1%)</w:t>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**Garçons 6–23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0.2 (0.6)</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**Garçons 24–59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0.5 (1.0)</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**Garçons 5–14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 (1.3)</w:t>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**Hommes 15–49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 (2.4)</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**Hommes 50–64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0.4 (2.6)</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**Hommes ≥ 65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0.2 (2.2)</w:t>
            </w:r>
          </w:p>
        </w:tc>
      </w:tr>
      <w:tr>
        <w:trPr>
          <w:trHeight w:val="2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**Filles 0–5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8,479 (95%)</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447 (5.0%)</w:t>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 (&lt;0.1%)</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 (0.1%)</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 (&lt;0.1%)</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 (&lt;0.1%)</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 (&lt;0.1%)</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 (&lt;0.1%)</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**Filles 6–23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0.2 (0.6)</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**Filles 24–59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0.4 (1.1)</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**Filles 5–14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 (1.3)</w:t>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**Femmes 15–49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 (2.1)</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**Femmes 50–64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0.3 (2.2)</w:t>
            </w:r>
          </w:p>
        </w:tc>
      </w:tr>
      <w:tr>
        <w:trPr>
          <w:trHeight w:val="294"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**Femmes ≥ 65 ans**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0.1 (1.9)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Mean (SD); n (%)</w:t>
            </w:r>
          </w:p>
        </w:tc>
      </w:tr>
    </w:tbl>
    <w:p>
      <w:pPr>
        <w:pStyle w:val="FirstParagraph"/>
      </w:pPr>
      <m:oMathPara>
        <m:oMathParaPr>
          <m:jc m:val="center"/>
        </m:oMathParaPr>
        <m:oMath/>
      </m:oMathPara>
    </w:p>
    <w:p>
      <w:pPr>
        <w:pStyle w:val="FirstParagraph"/>
      </w:pPr>
      <w:r>
        <w:t xml:space="preserve">La taille moyenne des ménages est de 7.5 membres, avec une grande</w:t>
      </w:r>
      <w:r>
        <w:t xml:space="preserve"> </w:t>
      </w:r>
      <w:r>
        <w:t xml:space="preserve">variation (écart-type de 12.9). Les ménages comptent majoritairement</w:t>
      </w:r>
      <w:r>
        <w:t xml:space="preserve"> </w:t>
      </w:r>
      <w:r>
        <w:t xml:space="preserve">aucun enfant de moins de 5 mois, aussi bien pour les garçons (93.9%) que</w:t>
      </w:r>
      <w:r>
        <w:t xml:space="preserve"> </w:t>
      </w:r>
      <w:r>
        <w:t xml:space="preserve">pour les filles (94.7%), avec des proportions très faibles pour ceux</w:t>
      </w:r>
      <w:r>
        <w:t xml:space="preserve"> </w:t>
      </w:r>
      <w:r>
        <w:t xml:space="preserve">ayant plus d’un enfant dans cette tranche d’âge. Les enfants âgés de 5 à</w:t>
      </w:r>
      <w:r>
        <w:t xml:space="preserve"> </w:t>
      </w:r>
      <w:r>
        <w:t xml:space="preserve">14 ans, qu’ils soient garçons ou filles, représentent en moyenne 1.3 par</w:t>
      </w:r>
      <w:r>
        <w:t xml:space="preserve"> </w:t>
      </w:r>
      <w:r>
        <w:t xml:space="preserve">ménage. Concernant les adultes, les hommes et femmes de 15 à 49 ans sont</w:t>
      </w:r>
      <w:r>
        <w:t xml:space="preserve"> </w:t>
      </w:r>
      <w:r>
        <w:t xml:space="preserve">présents en nombre similaire, avec une moyenne de 1.2 pour les hommes et</w:t>
      </w:r>
      <w:r>
        <w:t xml:space="preserve"> </w:t>
      </w:r>
      <w:r>
        <w:t xml:space="preserve">1.3 pour les femmes. Les adultes plus âgés (50 ans et plus) sont moins</w:t>
      </w:r>
      <w:r>
        <w:t xml:space="preserve"> </w:t>
      </w:r>
      <w:r>
        <w:t xml:space="preserve">représentés, avec des moyennes faibles, particulièrement pour les hommes</w:t>
      </w:r>
      <w:r>
        <w:t xml:space="preserve"> </w:t>
      </w:r>
      <w:r>
        <w:t xml:space="preserve">de 65 ans et plus (0.2) et les femmes de 65 ans et plus (0.1).</w:t>
      </w:r>
    </w:p>
    <w:p>
      <w:pPr>
        <w:pStyle w:val="Corpsdetexte"/>
      </w:pPr>
      <m:oMathPara>
        <m:oMathParaPr>
          <m:jc m:val="center"/>
        </m:oMathParaPr>
        <m:oMath/>
      </m:oMathPara>
    </w:p>
    <w:bookmarkEnd w:id="46"/>
    <w:bookmarkStart w:id="47" w:name="Xde62083924404784ce64cc7aa4273351bbe6a03"/>
    <w:p>
      <w:pPr>
        <w:pStyle w:val="Titre30"/>
      </w:pPr>
      <w:r>
        <w:t xml:space="preserve">Analyse des caractéristiques socio-démographiques du chef de ménage</w:t>
      </w:r>
    </w:p>
    <w:p>
      <w:pPr>
        <w:pStyle w:val="FirstParagraph"/>
      </w:pPr>
      <w:r>
        <w:t xml:space="preserve">Nous présentons ici un résumé des variables liées au chef de ménage</w:t>
      </w:r>
      <w:r>
        <w:t xml:space="preserve"> </w:t>
      </w:r>
      <w:r>
        <w:t xml:space="preserve">(sexe, âge, niveau d’éducation, source de revenu), afin de caractériser</w:t>
      </w:r>
      <w:r>
        <w:t xml:space="preserve"> </w:t>
      </w:r>
      <w:r>
        <w:t xml:space="preserve">leur profil.</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Caractéristiques du chef de ménage</w:t>
            </w:r>
          </w:p>
        </w:tc>
      </w:tr>
      <w:tr>
        <w:trPr>
          <w:trHeight w:val="260" w:hRule="auto"/>
          <w:tblHeader/>
        </w:trPr>
        header 2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Total</w:t>
            </w:r>
            <w:r>
              <w:rPr>
                <w:rFonts w:ascii="Arial" w:hAnsi="Arial" w:eastAsia="Arial" w:cs="Arial"/>
                <w:i w:val="false"/>
                <w:b w:val="tru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Sexe du chef de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3,938.0 (44.0%)</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5,012.0 (56.0%)</w:t>
            </w:r>
          </w:p>
        </w:tc>
      </w:tr>
      <w:tr>
        <w:trPr>
          <w:trHeight w:val="32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Âge du chef de ménage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42.9 (12.6)</w:t>
            </w:r>
          </w:p>
        </w:tc>
      </w:tr>
      <w:tr>
        <w:trPr>
          <w:trHeight w:val="2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Niveau d'éducation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Aucune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1,827.0 (30.8%)</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Alphabétisé ou Coranique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3,684.0 (62.2%)</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265.0 (4.5%)</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126.0 (2.1%)</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24.0 (0.4%)</w:t>
            </w:r>
          </w:p>
        </w:tc>
      </w:tr>
      <w:tr>
        <w:trPr>
          <w:trHeight w:val="28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3,024</w:t>
            </w:r>
          </w:p>
        </w:tc>
      </w:tr>
      <w:tr>
        <w:trPr>
          <w:trHeight w:val="2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Source de revenu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Agriculture vivrière/ou de rente (hors maraîchage)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861.0 (50.3%)</w:t>
            </w:r>
          </w:p>
        </w:tc>
      </w:tr>
      <w:tr>
        <w:trPr>
          <w:trHeight w:val="32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Élevage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27.0 (1.6%)</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des produits maraîchers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187.0 (10.9%)</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d'animaux ou de produits d'élevage (lait, fromage, œufs,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 (0.3%)</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de produits de la pêche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34.0 (2.0%)</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de produits de chasse/cueillette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21.0 (1.2%)</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Commerce des produits alimentaires ou animaux non produits par le ménage lui-même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33.0 (1.9%)</w:t>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Petit commerce de produits non alimentaires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66.0 (3.9%)</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Artisanat/Petits métiers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85.0 (5.0%)</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Travail journalier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154.0 (9.0%)</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Salarié/Pension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25.0 (1.5%)</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11.0 (0.6%)</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Aides/dons et transfert d'argent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105.0 (6.1%)</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Travail spécialisé (mécanicien, maçon, tailleur, coiffeur, gros commerce/commerce 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31.0 (1.8%)</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Autres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67.0 (3.9%)</w:t>
            </w:r>
          </w:p>
        </w:tc>
      </w:tr>
      <w:tr>
        <w:trPr>
          <w:trHeight w:val="282" w:hRule="auto"/>
        </w:trPr>
        body28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7,238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 Mean (SD)</w:t>
            </w:r>
          </w:p>
        </w:tc>
      </w:tr>
    </w:tbl>
    <w:p>
      <w:pPr>
        <w:pStyle w:val="Corpsdetexte"/>
      </w:pPr>
      <m:oMathPara>
        <m:oMathParaPr>
          <m:jc m:val="center"/>
        </m:oMathParaPr>
        <m:oMath/>
      </m:oMathPara>
    </w:p>
    <w:p>
      <w:pPr>
        <w:pStyle w:val="FirstParagraph"/>
      </w:pPr>
      <w:r>
        <w:t xml:space="preserve">L’analyse socio-démographique des chefs de ménage montre une légère</w:t>
      </w:r>
      <w:r>
        <w:t xml:space="preserve"> </w:t>
      </w:r>
      <w:r>
        <w:t xml:space="preserve">prédominance des hommes (56%) par rapport aux femmes (44%) parmi les</w:t>
      </w:r>
      <w:r>
        <w:t xml:space="preserve"> </w:t>
      </w:r>
      <w:r>
        <w:t xml:space="preserve">chefs de ménage. L’âge moyen des chefs de ménage est de 42,9 ans avec un</w:t>
      </w:r>
      <w:r>
        <w:t xml:space="preserve"> </w:t>
      </w:r>
      <w:r>
        <w:t xml:space="preserve">écart-type de 12,6 ans, indiquant une répartition relativement homogène</w:t>
      </w:r>
      <w:r>
        <w:t xml:space="preserve"> </w:t>
      </w:r>
      <w:r>
        <w:t xml:space="preserve">des âges. En ce qui concerne le niveau d’éducation, une grande majorité</w:t>
      </w:r>
      <w:r>
        <w:t xml:space="preserve"> </w:t>
      </w:r>
      <w:r>
        <w:t xml:space="preserve">des chefs de ménage (62,2%) sont alphabétisés ou ont suivi une éducation</w:t>
      </w:r>
      <w:r>
        <w:t xml:space="preserve"> </w:t>
      </w:r>
      <w:r>
        <w:t xml:space="preserve">coranique, tandis qu’une proportion plus faible a atteint des niveaux</w:t>
      </w:r>
      <w:r>
        <w:t xml:space="preserve"> </w:t>
      </w:r>
      <w:r>
        <w:t xml:space="preserve">d’éducation plus élevés, tels que le primaire (4,5%), le secondaire</w:t>
      </w:r>
      <w:r>
        <w:t xml:space="preserve"> </w:t>
      </w:r>
      <w:r>
        <w:t xml:space="preserve">(2,1%) et le supérieur (0,4%). Toutefois, un nombre important de valeurs</w:t>
      </w:r>
      <w:r>
        <w:t xml:space="preserve"> </w:t>
      </w:r>
      <w:r>
        <w:t xml:space="preserve">sont inconnues (30,8% pour</w:t>
      </w:r>
      <w:r>
        <w:t xml:space="preserve"> </w:t>
      </w:r>
      <w:r>
        <w:t xml:space="preserve">“</w:t>
      </w:r>
      <w:r>
        <w:t xml:space="preserve">Aucune</w:t>
      </w:r>
      <w:r>
        <w:t xml:space="preserve">”</w:t>
      </w:r>
      <w:r>
        <w:t xml:space="preserve"> </w:t>
      </w:r>
      <w:r>
        <w:t xml:space="preserve">et 3,024 observations marquées comme</w:t>
      </w:r>
      <w:r>
        <w:t xml:space="preserve"> </w:t>
      </w:r>
      <w:r>
        <w:t xml:space="preserve">“</w:t>
      </w:r>
      <w:r>
        <w:t xml:space="preserve">Unknown</w:t>
      </w:r>
      <w:r>
        <w:t xml:space="preserve">”</w:t>
      </w:r>
      <w:r>
        <w:t xml:space="preserve">). Quant à la source de revenu, l’agriculture vivrière ou de</w:t>
      </w:r>
      <w:r>
        <w:t xml:space="preserve"> </w:t>
      </w:r>
      <w:r>
        <w:t xml:space="preserve">rente domine (50,3%), suivie par la vente de produits maraîchers (10,9%)</w:t>
      </w:r>
      <w:r>
        <w:t xml:space="preserve"> </w:t>
      </w:r>
      <w:r>
        <w:t xml:space="preserve">et le travail journalier (9,0%).</w:t>
      </w:r>
    </w:p>
    <w:p>
      <w:pPr>
        <w:pStyle w:val="Corpsdetexte"/>
      </w:pPr>
      <m:oMathPara>
        <m:oMathParaPr>
          <m:jc m:val="center"/>
        </m:oMathParaPr>
        <m:oMath/>
      </m:oMathPara>
    </w:p>
    <w:bookmarkEnd w:id="47"/>
    <w:bookmarkEnd w:id="48"/>
    <w:bookmarkStart w:id="78" w:name="calcul-dindicateurs"/>
    <w:p>
      <w:pPr>
        <w:pStyle w:val="Titre2"/>
      </w:pPr>
      <w:r>
        <w:t xml:space="preserve">Calcul d’indicateurs</w:t>
      </w:r>
    </w:p>
    <w:bookmarkStart w:id="55" w:name="score-de-consommation-alimentaire-sca"/>
    <w:p>
      <w:pPr>
        <w:pStyle w:val="Titre30"/>
      </w:pPr>
      <w:r>
        <w:t xml:space="preserve">Score de consommation alimentaire (SCA)</w:t>
      </w:r>
    </w:p>
    <w:p>
      <w:pPr>
        <w:pStyle w:val="FirstParagraph"/>
      </w:pPr>
      <w:r>
        <w:t xml:space="preserve">Le score de consommation alimentaire (SCA) est un score composite basé</w:t>
      </w:r>
      <w:r>
        <w:t xml:space="preserve"> </w:t>
      </w:r>
      <w:r>
        <w:t xml:space="preserve">sur la diversité alimentaire des ménages, la fréquence des repas et</w:t>
      </w:r>
      <w:r>
        <w:t xml:space="preserve"> </w:t>
      </w:r>
      <w:r>
        <w:t xml:space="preserve">l’importance nutritionnelle relative des aliments consommés. Le module</w:t>
      </w:r>
      <w:r>
        <w:t xml:space="preserve"> </w:t>
      </w:r>
      <w:r>
        <w:t xml:space="preserve">SCA demande aux répondants combien de jours, au cours des 7 derniers</w:t>
      </w:r>
      <w:r>
        <w:t xml:space="preserve"> </w:t>
      </w:r>
      <w:r>
        <w:t xml:space="preserve">jours, la plupart des membres de leur ménage (+50%) ont consommé chacun</w:t>
      </w:r>
      <w:r>
        <w:t xml:space="preserve"> </w:t>
      </w:r>
      <w:r>
        <w:t xml:space="preserve">des produits/groupes alimentaires, à l’intérieur ou à l’extérieur de</w:t>
      </w:r>
      <w:r>
        <w:t xml:space="preserve"> </w:t>
      </w:r>
      <w:r>
        <w:t xml:space="preserve">leur domicile.</w:t>
      </w:r>
    </w:p>
    <w:p>
      <w:pPr>
        <w:pStyle w:val="Corpsdetexte"/>
      </w:pPr>
      <m:oMathPara>
        <m:oMathParaPr>
          <m:jc m:val="center"/>
        </m:oMathParaPr>
        <m:oMath/>
      </m:oMathPara>
    </w:p>
    <w:bookmarkStart w:id="49" w:name="Xa2f97ed8059103ab8201fc9d9a71332587fe22e"/>
    <w:p>
      <w:pPr>
        <w:pStyle w:val="Titre4"/>
      </w:pPr>
      <w:r>
        <w:t xml:space="preserve">Analyse descriptive des variables qui composent le SCA</w:t>
      </w:r>
    </w:p>
    <w:p>
      <w:pPr>
        <w:pStyle w:val="FirstParagraph"/>
      </w:pPr>
      <w:r>
        <w:t xml:space="preserve">Nous examinons, pour chacun des neuf groupes alimentaires, la</w:t>
      </w:r>
      <w:r>
        <w:t xml:space="preserve"> </w:t>
      </w:r>
      <w:r>
        <w:t xml:space="preserve">répartition des jours de consommation sur les 7 derniers jours (0 = pas</w:t>
      </w:r>
      <w:r>
        <w:t xml:space="preserve"> </w:t>
      </w:r>
      <w:r>
        <w:t xml:space="preserve">du tout, 7 = tous les jours). Pour chaque groupe, on présente la</w:t>
      </w:r>
      <w:r>
        <w:t xml:space="preserve"> </w:t>
      </w:r>
      <w:r>
        <w:t xml:space="preserve">proportion de ménages n’ayant pas consommé l’aliment (valeur 0), ceux le</w:t>
      </w:r>
      <w:r>
        <w:t xml:space="preserve"> </w:t>
      </w:r>
      <w:r>
        <w:t xml:space="preserve">consommant chaque jour (valeur 7), et la distribution intermédiaire.</w:t>
      </w:r>
    </w:p>
    <w:p>
      <w:pPr>
        <w:pStyle w:val="Corpsdetexte"/>
      </w:pPr>
      <m:oMathPara>
        <m:oMathParaPr>
          <m:jc m:val="center"/>
        </m:oMathParaPr>
        <m:oMath/>
      </m:oMathPara>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Analyse descriptive des fréquences FCS</w:t>
            </w:r>
          </w:p>
        </w:tc>
      </w:tr>
      <w:tr>
        <w:trPr>
          <w:trHeight w:val="292" w:hRule="auto"/>
          <w:tblHeader/>
        </w:trPr>
        header 2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Groupe alimentaire</w:t>
            </w:r>
          </w:p>
        </w:tc>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Statistiques</w:t>
            </w:r>
            <w:r>
              <w:rPr>
                <w:rFonts w:ascii="Arial" w:hAnsi="Arial" w:eastAsia="Arial" w:cs="Arial"/>
                <w:i w:val="false"/>
                <w:b w:val="tru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Céréales &amp; tubercules (jours)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54 (0.6%)</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81 (0.9%)</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64 (0.7%)</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79 (0.9%)</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82 (0.9%)</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 (2.8%)</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345 (3.9%)</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7,994 (89%)</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Légumineuses/noix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2,516 (28%)</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824 (9.2%)</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1,917 (21%)</w:t>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1,665 (19%)</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864 (9.7%)</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489 (5.5%)</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120 (1.3%)</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555 (6.2%)</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Produits laitiers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4,045 (45%)</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785 (8.8%)</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1,318 (15%)</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1,096 (12%)</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602 (6.7%)</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217 (2.4%)</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 (0.5%)</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840 (9.4%)</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Viande/poisson/œufs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1,749 (20%)</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2,009 (22%)</w:t>
            </w:r>
          </w:p>
        </w:tc>
      </w:tr>
      <w:tr>
        <w:trPr>
          <w:trHeight w:val="29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1,466 (16%)</w:t>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1,053 (12%)</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896 (10%)</w:t>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524 (5.9%)</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149 (1.7%)</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1,104 (12%)</w:t>
            </w:r>
          </w:p>
        </w:tc>
      </w:tr>
      <w:tr>
        <w:trPr>
          <w:trHeight w:val="29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2,222 (25%)</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418 (4.7%)</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733 (8.2%)</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625 (7.0%)</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507 (5.7%)</w:t>
            </w:r>
          </w:p>
        </w:tc>
      </w:tr>
      <w:tr>
        <w:trPr>
          <w:trHeight w:val="29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1,305 (15%)</w:t>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635 (7.1%)</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2,505 (28%)</w:t>
            </w:r>
          </w:p>
        </w:tc>
      </w:tr>
      <w:tr>
        <w:trPr>
          <w:trHeight w:val="29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Fruits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7,680 (86%)</w:t>
            </w:r>
          </w:p>
        </w:tc>
      </w:tr>
      <w:tr>
        <w:trPr>
          <w:trHeight w:val="294"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501 (5.6%)</w:t>
            </w:r>
          </w:p>
        </w:tc>
      </w:tr>
      <w:tr>
        <w:trPr>
          <w:trHeight w:val="294"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395 (4.4%)</w:t>
            </w:r>
          </w:p>
        </w:tc>
      </w:tr>
      <w:tr>
        <w:trPr>
          <w:trHeight w:val="29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 (2.2%)</w:t>
            </w:r>
          </w:p>
        </w:tc>
      </w:tr>
      <w:tr>
        <w:trPr>
          <w:trHeight w:val="294"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90 (1.0%)</w:t>
            </w:r>
          </w:p>
        </w:tc>
      </w:tr>
      <w:tr>
        <w:trPr>
          <w:trHeight w:val="29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 (0.5%)</w:t>
            </w:r>
          </w:p>
        </w:tc>
      </w:tr>
      <w:tr>
        <w:trPr>
          <w:trHeight w:val="29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 (0.1%)</w:t>
            </w:r>
          </w:p>
        </w:tc>
      </w:tr>
      <w:tr>
        <w:trPr>
          <w:trHeight w:val="294"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 (0.4%)</w:t>
            </w:r>
          </w:p>
        </w:tc>
      </w:tr>
      <w:tr>
        <w:trPr>
          <w:trHeight w:val="294"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Huiles &amp; graisses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555 (6.2%)</w:t>
            </w:r>
          </w:p>
        </w:tc>
      </w:tr>
      <w:tr>
        <w:trPr>
          <w:trHeight w:val="29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286 (3.2%)</w:t>
            </w:r>
          </w:p>
        </w:tc>
      </w:tr>
      <w:tr>
        <w:trPr>
          <w:trHeight w:val="294"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291 (3.3%)</w:t>
            </w:r>
          </w:p>
        </w:tc>
      </w:tr>
      <w:tr>
        <w:trPr>
          <w:trHeight w:val="29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421 (4.7%)</w:t>
            </w:r>
          </w:p>
        </w:tc>
      </w:tr>
      <w:tr>
        <w:trPr>
          <w:trHeight w:val="294"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436 (4.9%)</w:t>
            </w:r>
          </w:p>
        </w:tc>
      </w:tr>
      <w:tr>
        <w:trPr>
          <w:trHeight w:val="294"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712 (8.0%)</w:t>
            </w:r>
          </w:p>
        </w:tc>
      </w:tr>
      <w:tr>
        <w:trPr>
          <w:trHeight w:val="294"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562 (6.3%)</w:t>
            </w:r>
          </w:p>
        </w:tc>
      </w:tr>
      <w:tr>
        <w:trPr>
          <w:trHeight w:val="294"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5,687 (64%)</w:t>
            </w:r>
          </w:p>
        </w:tc>
      </w:tr>
      <w:tr>
        <w:trPr>
          <w:trHeight w:val="294"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Sucres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1,150 (13%)</w:t>
            </w:r>
          </w:p>
        </w:tc>
      </w:tr>
      <w:tr>
        <w:trPr>
          <w:trHeight w:val="294"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240 (2.7%)</w:t>
            </w:r>
          </w:p>
        </w:tc>
      </w:tr>
      <w:tr>
        <w:trPr>
          <w:trHeight w:val="294"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366 (4.1%)</w:t>
            </w:r>
          </w:p>
        </w:tc>
      </w:tr>
      <w:tr>
        <w:trPr>
          <w:trHeight w:val="294"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355 (4.0%)</w:t>
            </w:r>
          </w:p>
        </w:tc>
      </w:tr>
      <w:tr>
        <w:trPr>
          <w:trHeight w:val="294"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343 (3.8%)</w:t>
            </w:r>
          </w:p>
        </w:tc>
      </w:tr>
      <w:tr>
        <w:trPr>
          <w:trHeight w:val="294"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568 (6.3%)</w:t>
            </w:r>
          </w:p>
        </w:tc>
      </w:tr>
      <w:tr>
        <w:trPr>
          <w:trHeight w:val="29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435 (4.9%)</w:t>
            </w:r>
          </w:p>
        </w:tc>
      </w:tr>
      <w:tr>
        <w:trPr>
          <w:trHeight w:val="294"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5,493 (61%)</w:t>
            </w:r>
          </w:p>
        </w:tc>
      </w:tr>
      <w:tr>
        <w:trPr>
          <w:trHeight w:val="294"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Condiments/épices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609 (6.8%)</w:t>
            </w:r>
          </w:p>
        </w:tc>
      </w:tr>
      <w:tr>
        <w:trPr>
          <w:trHeight w:val="294"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147 (1.6%)</w:t>
            </w:r>
          </w:p>
        </w:tc>
      </w:tr>
      <w:tr>
        <w:trPr>
          <w:trHeight w:val="294"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219 (2.4%)</w:t>
            </w:r>
          </w:p>
        </w:tc>
      </w:tr>
      <w:tr>
        <w:trPr>
          <w:trHeight w:val="294"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305 (3.4%)</w:t>
            </w:r>
          </w:p>
        </w:tc>
      </w:tr>
      <w:tr>
        <w:trPr>
          <w:trHeight w:val="294"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378 (4.2%)</w:t>
            </w:r>
          </w:p>
        </w:tc>
      </w:tr>
      <w:tr>
        <w:trPr>
          <w:trHeight w:val="294"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636 (7.1%)</w:t>
            </w:r>
          </w:p>
        </w:tc>
      </w:tr>
      <w:tr>
        <w:trPr>
          <w:trHeight w:val="294"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599 (6.7%)</w:t>
            </w:r>
          </w:p>
        </w:tc>
      </w:tr>
      <w:tr>
        <w:trPr>
          <w:trHeight w:val="294" w:hRule="auto"/>
        </w:trPr>
        body81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6,057 (68%)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FirstParagraph"/>
      </w:pPr>
      <m:oMathPara>
        <m:oMathParaPr>
          <m:jc m:val="center"/>
        </m:oMathParaPr>
        <m:oMath/>
      </m:oMathPara>
    </w:p>
    <w:p>
      <w:pPr>
        <w:pStyle w:val="FirstParagraph"/>
      </w:pPr>
      <w:r>
        <w:t xml:space="preserve">Les céréales et tubercules sont massivement consommés au quotidien, 89 %</w:t>
      </w:r>
      <w:r>
        <w:t xml:space="preserve"> </w:t>
      </w:r>
      <w:r>
        <w:t xml:space="preserve">des ménages déclarant une consommation les 7 jours sur 7 et à peine 0,6</w:t>
      </w:r>
      <w:r>
        <w:t xml:space="preserve"> </w:t>
      </w:r>
      <w:r>
        <w:t xml:space="preserve">% ne les ayant pas du tout consommés. Les légumineuses sont plus</w:t>
      </w:r>
      <w:r>
        <w:t xml:space="preserve"> </w:t>
      </w:r>
      <w:r>
        <w:t xml:space="preserve">irrégulières : près de 28 % de ménages ne les ont pas consommées, tandis</w:t>
      </w:r>
      <w:r>
        <w:t xml:space="preserve"> </w:t>
      </w:r>
      <w:r>
        <w:t xml:space="preserve">que 6,2 % l’ont fait tous les jours. Les produits laitiers montrent une</w:t>
      </w:r>
      <w:r>
        <w:t xml:space="preserve"> </w:t>
      </w:r>
      <w:r>
        <w:t xml:space="preserve">fréquence encore plus restreinte : 45 % d’abstinence hebdomadaire et</w:t>
      </w:r>
      <w:r>
        <w:t xml:space="preserve"> </w:t>
      </w:r>
      <w:r>
        <w:t xml:space="preserve">seulement 9,4 % de consommation quotidienne. Pour la</w:t>
      </w:r>
      <w:r>
        <w:t xml:space="preserve"> </w:t>
      </w:r>
      <w:r>
        <w:t xml:space="preserve">viande/poisson/œufs, 20 % n’en ont pas consommé, 12 % en ont mangé</w:t>
      </w:r>
      <w:r>
        <w:t xml:space="preserve"> </w:t>
      </w:r>
      <w:r>
        <w:t xml:space="preserve">chaque jour, le reste oscillant entre 1 et 6 jours. Les légumes sont</w:t>
      </w:r>
      <w:r>
        <w:t xml:space="preserve"> </w:t>
      </w:r>
      <w:r>
        <w:t xml:space="preserve">consommés presque quotidiennement par 28 % des ménages, mais un quart</w:t>
      </w:r>
      <w:r>
        <w:t xml:space="preserve"> </w:t>
      </w:r>
      <w:r>
        <w:t xml:space="preserve">environ (25 %) ne les ont pas mangés. Les fruits présentent la plus</w:t>
      </w:r>
      <w:r>
        <w:t xml:space="preserve"> </w:t>
      </w:r>
      <w:r>
        <w:t xml:space="preserve">faible fréquence : 86 % d’abstinence et seulement 0,4 % de consommation</w:t>
      </w:r>
      <w:r>
        <w:t xml:space="preserve"> </w:t>
      </w:r>
      <w:r>
        <w:t xml:space="preserve">quotidienne. En revanche, les huiles &amp; graisses sont très présentes (64</w:t>
      </w:r>
      <w:r>
        <w:t xml:space="preserve"> </w:t>
      </w:r>
      <w:r>
        <w:t xml:space="preserve">% tous les jours, 6 % jamais) de même que les sucres (61 %</w:t>
      </w:r>
      <w:r>
        <w:t xml:space="preserve"> </w:t>
      </w:r>
      <w:r>
        <w:t xml:space="preserve">quotidiennement, 13 % jamais) et les condiments &amp; épices (68 %</w:t>
      </w:r>
      <w:r>
        <w:t xml:space="preserve"> </w:t>
      </w:r>
      <w:r>
        <w:t xml:space="preserve">quotidiennement, 6,8 % jamais).</w:t>
      </w:r>
    </w:p>
    <w:p>
      <w:pPr>
        <w:pStyle w:val="Corpsdetexte"/>
      </w:pPr>
      <m:oMathPara>
        <m:oMathParaPr>
          <m:jc m:val="center"/>
        </m:oMathParaPr>
        <m:oMath/>
      </m:oMathPara>
    </w:p>
    <w:bookmarkEnd w:id="49"/>
    <w:bookmarkStart w:id="51" w:name="Xeb6fbc74c1670167abd5ab0dfb72e21cbb3c9fc"/>
    <w:p>
      <w:pPr>
        <w:pStyle w:val="Titre4"/>
      </w:pPr>
      <w:r>
        <w:t xml:space="preserve">Calcul du score de consommation alimentaire (SCA)</w:t>
      </w:r>
    </w:p>
    <w:p>
      <w:pPr>
        <w:pStyle w:val="FirstParagraph"/>
      </w:pPr>
      <w:r>
        <w:t xml:space="preserve">D’après la méthodologie officielle du WFP (Coates et al. 2007; Wiesmann</w:t>
      </w:r>
      <w:r>
        <w:t xml:space="preserve"> </w:t>
      </w:r>
      <w:r>
        <w:t xml:space="preserve">et al. 2009), les poids du FCS ont été assignés par un groupe d’experts</w:t>
      </w:r>
      <w:r>
        <w:t xml:space="preserve"> </w:t>
      </w:r>
      <w:r>
        <w:t xml:space="preserve">sur la base de la densité énergétique, protéique et micronutritionnelle</w:t>
      </w:r>
      <w:r>
        <w:t xml:space="preserve"> </w:t>
      </w:r>
      <w:r>
        <w:t xml:space="preserve">de chaque groupe alimentaire. Selon cette source, les céréales et</w:t>
      </w:r>
      <w:r>
        <w:t xml:space="preserve"> </w:t>
      </w:r>
      <w:r>
        <w:t xml:space="preserve">tubercules (poids 2) fournissent l’essentiel de l’énergie mais moins de</w:t>
      </w:r>
      <w:r>
        <w:t xml:space="preserve"> </w:t>
      </w:r>
      <w:r>
        <w:t xml:space="preserve">protéines et micronutriments ; les légumineuses et noix (3) apportent</w:t>
      </w:r>
      <w:r>
        <w:t xml:space="preserve"> </w:t>
      </w:r>
      <w:r>
        <w:t xml:space="preserve">fibres et protéines végétales ; les produits laitiers et la</w:t>
      </w:r>
      <w:r>
        <w:t xml:space="preserve"> </w:t>
      </w:r>
      <w:r>
        <w:t xml:space="preserve">viande/poisson/œufs (4 chacun) sont très riches en protéines de haute</w:t>
      </w:r>
      <w:r>
        <w:t xml:space="preserve"> </w:t>
      </w:r>
      <w:r>
        <w:t xml:space="preserve">qualité et micronutriments tels que calcium et fer ; les légumes et</w:t>
      </w:r>
      <w:r>
        <w:t xml:space="preserve"> </w:t>
      </w:r>
      <w:r>
        <w:t xml:space="preserve">fruits (1 chacun) fournissent vitamines et antioxydants mais moins de</w:t>
      </w:r>
      <w:r>
        <w:t xml:space="preserve"> </w:t>
      </w:r>
      <w:r>
        <w:t xml:space="preserve">calories ; les huiles et graisses ainsi que les sucres (0,5 chacun) sont</w:t>
      </w:r>
      <w:r>
        <w:t xml:space="preserve"> </w:t>
      </w:r>
      <w:r>
        <w:t xml:space="preserve">densement calorifiques mais pauvres en micronutriments ; enfin, les</w:t>
      </w:r>
      <w:r>
        <w:t xml:space="preserve"> </w:t>
      </w:r>
      <w:r>
        <w:t xml:space="preserve">condiments et épices (0) sont utilisés en quantités trop faibles pour</w:t>
      </w:r>
      <w:r>
        <w:t xml:space="preserve"> </w:t>
      </w:r>
      <w:r>
        <w:t xml:space="preserve">contribuer significativement à l’apport nutritionnel. Le calcul du score</w:t>
      </w:r>
      <w:r>
        <w:t xml:space="preserve"> </w:t>
      </w:r>
      <w:r>
        <w:t xml:space="preserve">de consommation alimentaire (FCS) est effectué en multipliant la</w:t>
      </w:r>
      <w:r>
        <w:t xml:space="preserve"> </w:t>
      </w:r>
      <w:r>
        <w:t xml:space="preserve">fréquence de consommation quotidienne de chaque groupe alimentaire par</w:t>
      </w:r>
      <w:r>
        <w:t xml:space="preserve"> </w:t>
      </w:r>
      <w:r>
        <w:t xml:space="preserve">son poids, puis en additionnant les résultats pour obtenir un score</w:t>
      </w:r>
      <w:r>
        <w:t xml:space="preserve"> </w:t>
      </w:r>
      <w:r>
        <w:t xml:space="preserve">global.</w:t>
      </w:r>
    </w:p>
    <w:p>
      <w:pPr>
        <w:pStyle w:val="Corpsdetexte"/>
      </w:pPr>
      <m:oMathPara>
        <m:oMathParaPr>
          <m:jc m:val="center"/>
        </m:oMathParaPr>
        <m:oMath/>
      </m:oMathPara>
    </w:p>
    <w:p>
      <w:pPr>
        <w:pStyle w:val="FirstParagraph"/>
      </w:pPr>
      <w:r>
        <w:t xml:space="preserve">La méthodologie de calcul est précisée ici:</w:t>
      </w:r>
      <w:r>
        <w:t xml:space="preserve"> </w:t>
      </w:r>
      <w:hyperlink r:id="rId50">
        <w:r>
          <w:rPr>
            <w:rStyle w:val="Lienhypertexte"/>
          </w:rPr>
          <w:t xml:space="preserve">SCA</w:t>
        </w:r>
      </w:hyperlink>
      <w:r>
        <w:t xml:space="preserve">.</w:t>
      </w:r>
    </w:p>
    <w:p>
      <w:pPr>
        <w:pStyle w:val="Corpsdetexte"/>
      </w:pPr>
      <m:oMathPara>
        <m:oMathParaPr>
          <m:jc m:val="center"/>
        </m:oMathParaPr>
        <m:oMath/>
      </m:oMathPara>
    </w:p>
    <w:p>
      <w:pPr>
        <w:pStyle w:val="FirstParagraph"/>
      </w:pPr>
      <w:r>
        <w:t xml:space="preserve">Procédons au calcul comme demandé.</w:t>
      </w:r>
    </w:p>
    <w:p>
      <w:pPr>
        <w:pStyle w:val="Corpsdetexte"/>
      </w:pPr>
      <m:oMathPara>
        <m:oMathParaPr>
          <m:jc m:val="center"/>
        </m:oMathParaPr>
        <m:oMath/>
      </m:oMathPara>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SCA</w:t>
      </w:r>
    </w:p>
    <w:tbl xmlns:w14="http://schemas.microsoft.com/office/word/2010/wordml">
      <w:tblPr>
        <w:tblLayout w:type="autofit"/>
        <w:jc w:val="center"/>
        <w:tblW w:type="pct" w:w="0"/>
        <w:tblLook w:firstRow="1" w:lastRow="0" w:firstColumn="0" w:lastColumn="0" w:noHBand="0" w:noVBand="1"/>
      </w:tblPr>
      <w:tr>
        <w:trPr>
          <w:trHeight w:val="292" w:hRule="auto"/>
          <w:tblHeader/>
        </w:trPr>
        header1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Statistiques</w:t>
            </w:r>
          </w:p>
        </w:tc>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Valeurs</w:t>
            </w:r>
            <w:r>
              <w:rPr>
                <w:rFonts w:ascii="Arial" w:hAnsi="Arial" w:eastAsia="Arial" w:cs="Arial"/>
                <w:i w:val="false"/>
                <w:b w:val="true"/>
                <w:u w:val="none"/>
                <w:vertAlign w:val="superscript"/>
                <w:sz w:val="16"/>
                <w:szCs w:val="16"/>
                <w:color w:val="000000"/>
              </w:rPr>
              <w:t xml:space="preserve">1</w:t>
            </w:r>
          </w:p>
        </w:tc>
      </w:tr>
      <w:tr>
        <w:trPr>
          <w:trHeight w:val="294"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Consumption over the past 7 days: cereals, grains and tubers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47.3 (16.9), médiane 46.0, IQR 35.5–58.0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(SD), médiane Median, IQR Q1–Q3</w:t>
            </w:r>
          </w:p>
        </w:tc>
      </w:tr>
    </w:tbl>
    <w:p>
      <w:pPr>
        <w:pStyle w:val="FirstParagraph"/>
      </w:pPr>
      <m:oMathPara>
        <m:oMathParaPr>
          <m:jc m:val="center"/>
        </m:oMathParaPr>
        <m:oMath/>
      </m:oMathPara>
    </w:p>
    <w:p>
      <w:pPr>
        <w:pStyle w:val="FirstParagraph"/>
      </w:pPr>
      <w:r>
        <w:t xml:space="preserve">Les statistiques descriptives pour le SCA donne une moyenne de 47,3 avec</w:t>
      </w:r>
      <w:r>
        <w:t xml:space="preserve"> </w:t>
      </w:r>
      <w:r>
        <w:t xml:space="preserve">un écart type de 16,9, ce qui indique une certaine variabilité dans la</w:t>
      </w:r>
      <w:r>
        <w:t xml:space="preserve"> </w:t>
      </w:r>
      <w:r>
        <w:t xml:space="preserve">consommation. La médiane est de 46,0, suggérant que la moitié des</w:t>
      </w:r>
      <w:r>
        <w:t xml:space="preserve"> </w:t>
      </w:r>
      <w:r>
        <w:t xml:space="preserve">individus ont consommé une quantité de céréales, grains et tubercules</w:t>
      </w:r>
      <w:r>
        <w:t xml:space="preserve"> </w:t>
      </w:r>
      <w:r>
        <w:t xml:space="preserve">inférieure ou égale à cette valeur. L’IQR (intervalle interquartile)</w:t>
      </w:r>
      <w:r>
        <w:t xml:space="preserve"> </w:t>
      </w:r>
      <w:r>
        <w:t xml:space="preserve">s’étend de 35,5 à 58,0, ce qui reflète la dispersion des valeurs</w:t>
      </w:r>
      <w:r>
        <w:t xml:space="preserve"> </w:t>
      </w:r>
      <w:r>
        <w:t xml:space="preserve">centrales autour de la médiane, et indique que 50 % des observations se</w:t>
      </w:r>
      <w:r>
        <w:t xml:space="preserve"> </w:t>
      </w:r>
      <w:r>
        <w:t xml:space="preserve">situent dans cet intervalle.</w:t>
      </w:r>
    </w:p>
    <w:p>
      <w:pPr>
        <w:pStyle w:val="Corpsdetexte"/>
      </w:pPr>
      <m:oMathPara>
        <m:oMathParaPr>
          <m:jc m:val="center"/>
        </m:oMathParaPr>
        <m:oMath/>
      </m:oMathPara>
    </w:p>
    <w:bookmarkEnd w:id="51"/>
    <w:bookmarkStart w:id="52" w:name="X29abb53f43513e05a1e2531d922789af331aef4"/>
    <w:p>
      <w:pPr>
        <w:pStyle w:val="Titre4"/>
      </w:pPr>
      <w:r>
        <w:t xml:space="preserve">Tableau illustrant le poids attribue à chaque groupe alimentaire pour le calcul du SCA (la somme totale des poids doit etre egale a 16)</w:t>
      </w:r>
    </w:p>
    <w:p>
      <w:pPr>
        <w:pStyle w:val="FirstParagraph"/>
      </w:pPr>
      <m:oMathPara>
        <m:oMathParaPr>
          <m:jc m:val="center"/>
        </m:oMathParaPr>
        <m:oMath/>
      </m:oMathPara>
    </w:p>
    <w:tbl xmlns:w14="http://schemas.microsoft.com/office/word/2010/wordml">
      <w:tblPr>
        <w:tblLayout w:type="fixed"/>
        <w:jc w:val="center"/>
        <w:tblLook w:firstRow="1" w:lastRow="0" w:firstColumn="0" w:lastColumn="0" w:noHBand="0" w:noVBand="1"/>
      </w:tblPr>
      <w:tblGrid>
        <w:gridCol w:w="2759"/>
        <w:gridCol w:w="1914"/>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Groupe.Alimentaire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Poids.Attribué</w:t>
            </w:r>
          </w:p>
        </w:tc>
      </w:tr>
      <w:tr>
        <w:trPr>
          <w:trHeight w:val="57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Céréales &amp;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Légumineuses / Noix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Viande / Poisson /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Huiles &amp; Graisses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Sucres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65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Condiments / Épices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w:t>
            </w:r>
          </w:p>
        </w:tc>
      </w:tr>
    </w:tbl>
    <w:p>
      <w:pPr>
        <w:pStyle w:val="FirstParagraph"/>
      </w:pPr>
      <m:oMathPara>
        <m:oMathParaPr>
          <m:jc m:val="center"/>
        </m:oMathParaPr>
        <m:oMath/>
      </m:oMathPara>
    </w:p>
    <w:bookmarkEnd w:id="52"/>
    <w:bookmarkStart w:id="53" w:name="X95c29c85a07264f0560eb8a9828a05077b745ed"/>
    <w:p>
      <w:pPr>
        <w:pStyle w:val="Titre4"/>
      </w:pPr>
      <w:r>
        <w:t xml:space="preserve">Catégorisation du SCA selon les seuils 21/35 et 28/42</w:t>
      </w:r>
    </w:p>
    <w:p>
      <w:pPr>
        <w:pStyle w:val="FirstParagraph"/>
      </w:pPr>
      <w:r>
        <w:t xml:space="preserve">Nous allons faire la catégorisation du SCA selon les seuils 21/35 et</w:t>
      </w:r>
      <w:r>
        <w:t xml:space="preserve"> </w:t>
      </w:r>
      <w:r>
        <w:t xml:space="preserve">28/42. Pour le seuil 21/35, un SCA inférieur à 21 indique une situation</w:t>
      </w:r>
      <w:r>
        <w:t xml:space="preserve"> </w:t>
      </w:r>
      <w:r>
        <w:t xml:space="preserve">de pauvreté alimentaire, entre 21 et 35 une situation limite, et</w:t>
      </w:r>
      <w:r>
        <w:t xml:space="preserve"> </w:t>
      </w:r>
      <w:r>
        <w:t xml:space="preserve">au-dessus de 35 une situation acceptable. De même, pour un seuil 28/46</w:t>
      </w:r>
      <w:r>
        <w:t xml:space="preserve"> </w:t>
      </w:r>
      <w:r>
        <w:t xml:space="preserve">un SCA inférieur à 28 est considéré comme pauvre, entre 28 et 42 comme</w:t>
      </w:r>
      <w:r>
        <w:t xml:space="preserve"> </w:t>
      </w:r>
      <w:r>
        <w:t xml:space="preserve">limite, et au-dessus de 42 comme acceptable.</w:t>
      </w:r>
    </w:p>
    <w:p>
      <w:pPr>
        <w:pStyle w:val="Corpsdetexte"/>
      </w:pPr>
      <m:oMathPara>
        <m:oMathParaPr>
          <m:jc m:val="center"/>
        </m:oMathParaPr>
        <m:oMath/>
      </m:oMathPara>
    </w:p>
    <w:p>
      <w:pPr>
        <w:pStyle w:val="FirstParagraph"/>
      </w:pPr>
      <w:r>
        <w:t xml:space="preserve">Verifions que ca a été bien fait et que les effectifs correspondent.</w:t>
      </w:r>
    </w:p>
    <w:p>
      <w:pPr>
        <w:pStyle w:val="Corpsdetexte"/>
      </w:pPr>
      <m:oMathPara>
        <m:oMathParaPr>
          <m:jc m:val="center"/>
        </m:oMathParaPr>
        <m:oMath/>
      </m:oMathPara>
    </w:p>
    <w:p>
      <w:pPr>
        <w:numPr>
          <w:ilvl w:val="0"/>
          <w:numId w:val="1003"/>
        </w:numPr>
        <w:pStyle w:val="Compact"/>
      </w:pPr>
      <w:r>
        <w:t xml:space="preserve">Pour 28/42</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Comparaison entre SCA et SCA_Categorie_28_42</w:t>
      </w:r>
    </w:p>
    <w:tbl xmlns:w14="http://schemas.microsoft.com/office/word/2010/wordml">
      <w:tblPr>
        <w:tblLayout w:type="fixed"/>
        <w:jc w:val="center"/>
        <w:tblLook w:firstRow="1" w:lastRow="0" w:firstColumn="0" w:lastColumn="0" w:noHBand="0" w:noVBand="1"/>
      </w:tblPr>
      <w:tblGrid>
        <w:gridCol w:w="1902"/>
        <w:gridCol w:w="961"/>
        <w:gridCol w:w="297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Intervalle SCA</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V1</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Intervalle SCA Categorie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&gt; 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28 - 42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&lt;=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Pauvre</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Limite</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Acceptable</w:t>
            </w:r>
          </w:p>
        </w:tc>
      </w:tr>
    </w:tbl>
    <w:p>
      <w:pPr>
        <w:pStyle w:val="FirstParagraph"/>
      </w:pPr>
      <m:oMathPara>
        <m:oMathParaPr>
          <m:jc m:val="center"/>
        </m:oMathParaPr>
        <m:oMath/>
      </m:oMathPara>
    </w:p>
    <w:p>
      <w:pPr>
        <w:pStyle w:val="FirstParagraph"/>
      </w:pPr>
      <w:r>
        <w:t xml:space="preserve">Ca correspond pour 28/42.</w:t>
      </w:r>
    </w:p>
    <w:p>
      <w:pPr>
        <w:pStyle w:val="Corpsdetexte"/>
      </w:pPr>
      <m:oMathPara>
        <m:oMathParaPr>
          <m:jc m:val="center"/>
        </m:oMathParaPr>
        <m:oMath/>
      </m:oMathPara>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Comparaison entre SCA et SCA_Categorie_21_35</w:t>
      </w:r>
    </w:p>
    <w:tbl xmlns:w14="http://schemas.microsoft.com/office/word/2010/wordml">
      <w:tblPr>
        <w:tblLayout w:type="fixed"/>
        <w:jc w:val="center"/>
        <w:tblLook w:firstRow="1" w:lastRow="0" w:firstColumn="0" w:lastColumn="0" w:noHBand="0" w:noVBand="1"/>
      </w:tblPr>
      <w:tblGrid>
        <w:gridCol w:w="1902"/>
        <w:gridCol w:w="961"/>
        <w:gridCol w:w="297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Intervalle SCA</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V1</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Intervalle SCA Categorie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&gt;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6,747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21 - 35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&lt;=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57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Pauvre</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Limite</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6,747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Acceptable</w:t>
            </w:r>
          </w:p>
        </w:tc>
      </w:tr>
    </w:tbl>
    <w:p>
      <w:pPr>
        <w:pStyle w:val="FirstParagraph"/>
      </w:pPr>
      <w:r>
        <w:t xml:space="preserve">Ca correspond également.</w:t>
      </w:r>
    </w:p>
    <w:p>
      <w:pPr>
        <w:pStyle w:val="Corpsdetexte"/>
      </w:pPr>
      <m:oMathPara>
        <m:oMathParaPr>
          <m:jc m:val="center"/>
        </m:oMathParaPr>
        <m:oMath/>
      </m:oMathPara>
    </w:p>
    <w:p>
      <w:pPr>
        <w:pStyle w:val="FirstParagraph"/>
      </w:pPr>
      <w:r>
        <w:t xml:space="preserve">Visualisons graphiquement.</w:t>
      </w:r>
    </w:p>
    <w:p>
      <w:pPr>
        <w:jc w:val="center"/>
        <w:pStyle w:val="Figure"/>
      </w:pPr>
      <w:r>
        <w:rPr/>
        <w:drawing>
          <wp:inline distT="0" distB="0" distL="0" distR="0">
            <wp:extent cx="3291840" cy="219456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52"/>
                    <a:stretch>
                      <a:fillRect/>
                    </a:stretch>
                  </pic:blipFill>
                  <pic:spPr bwMode="auto">
                    <a:xfrm>
                      <a:off x="0" y="0"/>
                      <a:ext cx="45720" cy="30480"/>
                    </a:xfrm>
                    <a:prstGeom prst="rect">
                      <a:avLst/>
                    </a:prstGeom>
                    <a:noFill/>
                  </pic:spPr>
                </pic:pic>
              </a:graphicData>
            </a:graphic>
          </wp:inline>
        </w:drawing>
      </w:r>
    </w:p>
    <w:p>
      <w:pPr>
        <w:jc w:val="center"/>
        <w:pStyle w:val="Figure"/>
      </w:pPr>
      <w:r>
        <w:rPr/>
        <w:drawing>
          <wp:inline distT="0" distB="0" distL="0" distR="0">
            <wp:extent cx="3291840" cy="219456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53"/>
                    <a:stretch>
                      <a:fillRect/>
                    </a:stretch>
                  </pic:blipFill>
                  <pic:spPr bwMode="auto">
                    <a:xfrm>
                      <a:off x="0" y="0"/>
                      <a:ext cx="45720" cy="30480"/>
                    </a:xfrm>
                    <a:prstGeom prst="rect">
                      <a:avLst/>
                    </a:prstGeom>
                    <a:noFill/>
                  </pic:spPr>
                </pic:pic>
              </a:graphicData>
            </a:graphic>
          </wp:inline>
        </w:drawing>
      </w:r>
    </w:p>
    <w:bookmarkEnd w:id="53"/>
    <w:bookmarkStart w:id="54" w:name="représentation-spatiale"/>
    <w:p>
      <w:pPr>
        <w:pStyle w:val="Titre4"/>
      </w:pPr>
      <w:r>
        <w:t xml:space="preserve">Représentation spatiale</w:t>
      </w:r>
    </w:p>
    <w:p>
      <w:pPr>
        <w:pStyle w:val="FirstParagraph"/>
      </w:pPr>
      <w:r>
        <w:t xml:space="preserve">Tout d’abord, après telechargement des shapefiles du Tchad, nous</w:t>
      </w:r>
      <w:r>
        <w:t xml:space="preserve"> </w:t>
      </w:r>
      <w:r>
        <w:t xml:space="preserve">remarquons que dans la base de données base_principale, les codes des</w:t>
      </w:r>
      <w:r>
        <w:t xml:space="preserve"> </w:t>
      </w:r>
      <w:r>
        <w:t xml:space="preserve">regions utilisent le préfixe: TD et pourtant dans le shapefile, il</w:t>
      </w:r>
      <w:r>
        <w:t xml:space="preserve"> </w:t>
      </w:r>
      <w:r>
        <w:t xml:space="preserve">s’agit de TCD. Nous allons donc dans un premier temps corriger cela.</w:t>
      </w:r>
      <w:r>
        <w:t xml:space="preserve"> </w:t>
      </w:r>
      <w:r>
        <w:t xml:space="preserve">Ainsi le récapitulatif des étapes sont les suivantes: on commence par</w:t>
      </w:r>
      <w:r>
        <w:t xml:space="preserve"> </w:t>
      </w:r>
      <w:r>
        <w:t xml:space="preserve">lire les shapefiles des limites administratives (régions ADM1 et</w:t>
      </w:r>
      <w:r>
        <w:t xml:space="preserve"> </w:t>
      </w:r>
      <w:r>
        <w:t xml:space="preserve">départements ADM2) via sf::st_read(), puis on normalise les codes OCHA</w:t>
      </w:r>
      <w:r>
        <w:t xml:space="preserve"> </w:t>
      </w:r>
      <w:r>
        <w:t xml:space="preserve">de la table principale (adm1_ocha et adm2_ocha) en extrayant le numéro,</w:t>
      </w:r>
      <w:r>
        <w:t xml:space="preserve"> </w:t>
      </w:r>
      <w:r>
        <w:t xml:space="preserve">en le formatant sur deux chiffres et en le préfixant par</w:t>
      </w:r>
      <w:r>
        <w:t xml:space="preserve"> </w:t>
      </w:r>
      <w:r>
        <w:t xml:space="preserve">“</w:t>
      </w:r>
      <w:r>
        <w:t xml:space="preserve">TCD</w:t>
      </w:r>
      <w:r>
        <w:t xml:space="preserve">”</w:t>
      </w:r>
      <w:r>
        <w:t xml:space="preserve"> </w:t>
      </w:r>
      <w:r>
        <w:t xml:space="preserve">pour</w:t>
      </w:r>
      <w:r>
        <w:t xml:space="preserve"> </w:t>
      </w:r>
      <w:r>
        <w:t xml:space="preserve">correspondre aux identifiants des shapefiles. Ensuite, on calcule le SCA</w:t>
      </w:r>
      <w:r>
        <w:t xml:space="preserve"> </w:t>
      </w:r>
      <w:r>
        <w:t xml:space="preserve">moyen par région et par département en groupant base_principale sur ces</w:t>
      </w:r>
      <w:r>
        <w:t xml:space="preserve"> </w:t>
      </w:r>
      <w:r>
        <w:t xml:space="preserve">nouveaux codes et en appliquant mean(…, na.rm = TRUE). Par la suite,</w:t>
      </w:r>
      <w:r>
        <w:t xml:space="preserve"> </w:t>
      </w:r>
      <w:r>
        <w:t xml:space="preserve">nous générons les cartes.</w:t>
      </w:r>
    </w:p>
    <w:p>
      <w:pPr>
        <w:pStyle w:val="Corpsdetexte"/>
      </w:pPr>
      <m:oMathPara>
        <m:oMathParaPr>
          <m:jc m:val="center"/>
        </m:oMathParaPr>
        <m:oMath/>
      </m:oMathPara>
    </w:p>
    <w:p>
      <w:pPr>
        <w:pStyle w:val="FirstParagraph"/>
      </w:pPr>
      <m:oMathPara>
        <m:oMathParaPr>
          <m:jc m:val="center"/>
        </m:oMathParaPr>
        <m:oMath/>
      </m:oMathPara>
    </w:p>
    <w:p>
      <w:pPr>
        <w:pStyle w:val="FirstParagraph"/>
      </w:pPr>
      <w:r>
        <w:t xml:space="preserve">Visualisons la répartition par région du SCA.</w:t>
      </w:r>
    </w:p>
    <w:p>
      <w:pPr>
        <w:jc w:val="center"/>
        <w:pStyle w:val="Figure"/>
      </w:pPr>
      <w:r>
        <w:rPr/>
        <w:drawing>
          <wp:inline distT="0" distB="0" distL="0" distR="0">
            <wp:extent cx="7315200" cy="54864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54"/>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c929d5d3-6a27-4ee4-ba0a-10c453f3f45c" w:name="cartographie_SCA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929d5d3-6a27-4ee4-ba0a-10c453f3f45c"/>
      <w:r>
        <w:rPr>
          <w:rFonts/>
          <w:b w:val="true"/>
        </w:rPr>
        <w:t xml:space="preserve">: </w:t>
      </w:r>
      <w:r>
        <w:t xml:space="preserve">Carte du score de consommation alimentaire moyen (SCA) par région</w:t>
      </w:r>
    </w:p>
    <w:p>
      <w:pPr>
        <w:pStyle w:val="Corpsdetexte"/>
      </w:pPr>
      <m:oMathPara>
        <m:oMathParaPr>
          <m:jc m:val="center"/>
        </m:oMathParaPr>
        <m:oMath/>
      </m:oMathPara>
    </w:p>
    <w:p>
      <w:pPr>
        <w:pStyle w:val="FirstParagraph"/>
      </w:pPr>
      <w:r>
        <w:t xml:space="preserve">De la carte qui précède, nous voyons que c’est la région de LAC qui a</w:t>
      </w:r>
      <w:r>
        <w:t xml:space="preserve"> </w:t>
      </w:r>
      <w:r>
        <w:t xml:space="preserve">une plus grande valeur, soit la seule supérieure à 55.</w:t>
      </w:r>
    </w:p>
    <w:p>
      <w:pPr>
        <w:pStyle w:val="Corpsdetexte"/>
      </w:pPr>
      <m:oMathPara>
        <m:oMathParaPr>
          <m:jc m:val="center"/>
        </m:oMathParaPr>
        <m:oMath/>
      </m:oMathPara>
    </w:p>
    <w:p>
      <w:pPr>
        <w:pStyle w:val="FirstParagraph"/>
      </w:pPr>
      <w:r>
        <w:t xml:space="preserve">Visualisons la répartition par département du SCA.</w:t>
      </w:r>
    </w:p>
    <w:p>
      <w:pPr>
        <w:jc w:val="center"/>
        <w:pStyle w:val="Figure"/>
      </w:pPr>
      <w:r>
        <w:rPr/>
        <w:drawing>
          <wp:inline distT="0" distB="0" distL="0" distR="0">
            <wp:extent cx="6400800" cy="45720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55"/>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d33cf3e1-858a-4a5e-9630-5e1b7ef66d35" w:name="representation_spatiale_SCA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33cf3e1-858a-4a5e-9630-5e1b7ef66d35"/>
      <w:r>
        <w:rPr>
          <w:rFonts/>
          <w:b w:val="true"/>
        </w:rPr>
        <w:t xml:space="preserve">: </w:t>
      </w:r>
      <w:r>
        <w:t xml:space="preserve">Carte du score de consommation alimentaire moyen (SCA) par département</w:t>
      </w:r>
    </w:p>
    <w:bookmarkEnd w:id="54"/>
    <w:bookmarkEnd w:id="55"/>
    <w:bookmarkStart w:id="60" w:name="X6a364015f8ddad6cca8e03528131f99f6a7f581"/>
    <w:p>
      <w:pPr>
        <w:pStyle w:val="Titre30"/>
      </w:pPr>
      <w:r>
        <w:t xml:space="preserve">L’indice réduit des stratégies de survie (rCSI)</w:t>
      </w:r>
    </w:p>
    <w:p>
      <w:pPr>
        <w:pStyle w:val="FirstParagraph"/>
      </w:pPr>
      <w:r>
        <w:t xml:space="preserve">L’indice réduit des stratégies de survie, basé sur la consommation, est</w:t>
      </w:r>
      <w:r>
        <w:t xml:space="preserve"> </w:t>
      </w:r>
      <w:r>
        <w:t xml:space="preserve">utilisé pour évaluer le niveau de stress d’un ménage dû à une pénurie</w:t>
      </w:r>
      <w:r>
        <w:t xml:space="preserve"> </w:t>
      </w:r>
      <w:r>
        <w:t xml:space="preserve">alimentaire. Il mesure les stratégies comportementales que les gens</w:t>
      </w:r>
      <w:r>
        <w:t xml:space="preserve"> </w:t>
      </w:r>
      <w:r>
        <w:t xml:space="preserve">appliquent lorsqu’ils n’ont pas accès à suffisamment de nourriture ou</w:t>
      </w:r>
      <w:r>
        <w:t xml:space="preserve"> </w:t>
      </w:r>
      <w:r>
        <w:t xml:space="preserve">lorsqu’ils prévoient une diminution de la sécurité alimentaire</w:t>
      </w:r>
    </w:p>
    <w:bookmarkStart w:id="56" w:name="Xd4ae2a6134e2f853642cdc18feabf42115a7db5"/>
    <w:p>
      <w:pPr>
        <w:pStyle w:val="Titre4"/>
      </w:pPr>
      <w:r>
        <w:t xml:space="preserve">Analyse descriptive des variables qui composent le rCSI</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Analyse descriptive des stratégies de survie (rCSI)</w:t>
            </w:r>
          </w:p>
        </w:tc>
      </w:tr>
      <w:tr>
        <w:trPr>
          <w:trHeight w:val="294" w:hRule="auto"/>
          <w:tblHeader/>
        </w:trPr>
        header 2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Stratégie de survie</w:t>
            </w:r>
          </w:p>
        </w:tc>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Statistiques</w:t>
            </w:r>
            <w:r>
              <w:rPr>
                <w:rFonts w:ascii="Arial" w:hAnsi="Arial" w:eastAsia="Arial" w:cs="Arial"/>
                <w:i w:val="false"/>
                <w:b w:val="tru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Consommer des aliments moins préférés et moins chers (jours)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4,065 (45%)</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2,233 (25%)</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1,475 (16%)</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633 (7.1%)</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186 (2.1%)</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129 (1.4%)</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 (0.4%)</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193 (2.2%)</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Emprunter de la nourriture ou compter sur l'aide des parents/amis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4,209 (47%)</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2,162 (24%)</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1,449 (16%)</w:t>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643 (7.2%)</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176 (2.0%)</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111 (1.2%)</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 (0.3%)</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172 (1.9%)</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Diminuer la quantité consommée pendant les repas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5,543 (62%)</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1,767 (20%)</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994 (11%)</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424 (4.7%)</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124 (1.4%)</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 (0.5%)</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 (0.1%)</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45 (0.5%)</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Restreindre la consommation des adultes pour nourrir les enfants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6,761 (76%)</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1,319 (15%)</w:t>
            </w:r>
          </w:p>
        </w:tc>
      </w:tr>
      <w:tr>
        <w:trPr>
          <w:trHeight w:val="29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518 (5.8%)</w:t>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227 (2.5%)</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68 (0.8%)</w:t>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 (0.3%)</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 (&lt;0.1%)</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 (0.3%)</w:t>
            </w:r>
          </w:p>
        </w:tc>
      </w:tr>
      <w:tr>
        <w:trPr>
          <w:trHeight w:val="29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Diminuer le nombre de repas par jour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5,737 (64%)</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1,738 (19%)</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898 (10%)</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350 (3.9%)</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120 (1.3%)</w:t>
            </w:r>
          </w:p>
        </w:tc>
      </w:tr>
      <w:tr>
        <w:trPr>
          <w:trHeight w:val="29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51 (0.6%)</w:t>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 (&lt;0.1%)</w:t>
            </w:r>
          </w:p>
        </w:tc>
      </w:tr>
      <w:tr>
        <w:trPr>
          <w:trHeight w:val="294"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48 (0.5%)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FirstParagraph"/>
      </w:pPr>
      <m:oMathPara>
        <m:oMathParaPr>
          <m:jc m:val="center"/>
        </m:oMathParaPr>
        <m:oMath/>
      </m:oMathPara>
    </w:p>
    <w:p>
      <w:pPr>
        <w:pStyle w:val="FirstParagraph"/>
      </w:pPr>
      <w:r>
        <w:t xml:space="preserve">L’analyse descriptive des stratégies de survie (rCSI) révèle des</w:t>
      </w:r>
      <w:r>
        <w:t xml:space="preserve"> </w:t>
      </w:r>
      <w:r>
        <w:t xml:space="preserve">tendances significatives dans les comportements adoptés par les ménages</w:t>
      </w:r>
      <w:r>
        <w:t xml:space="preserve"> </w:t>
      </w:r>
      <w:r>
        <w:t xml:space="preserve">face à l’insécurité alimentaire. La stratégie la plus fréquemment</w:t>
      </w:r>
      <w:r>
        <w:t xml:space="preserve"> </w:t>
      </w:r>
      <w:r>
        <w:t xml:space="preserve">utilisée est la consommation d’aliments moins préférés et moins chers,</w:t>
      </w:r>
      <w:r>
        <w:t xml:space="preserve"> </w:t>
      </w:r>
      <w:r>
        <w:t xml:space="preserve">avec 45 % des ménages déclarant ne pas y avoir eu recours au cours des</w:t>
      </w:r>
      <w:r>
        <w:t xml:space="preserve"> </w:t>
      </w:r>
      <w:r>
        <w:t xml:space="preserve">sept derniers jours, tandis que 25 % l’ont utilisée un jour, 16 % deux</w:t>
      </w:r>
      <w:r>
        <w:t xml:space="preserve"> </w:t>
      </w:r>
      <w:r>
        <w:t xml:space="preserve">jours, et 7,1 % trois jours.</w:t>
      </w:r>
    </w:p>
    <w:p>
      <w:pPr>
        <w:pStyle w:val="Corpsdetexte"/>
      </w:pPr>
      <m:oMathPara>
        <m:oMathParaPr>
          <m:jc m:val="center"/>
        </m:oMathParaPr>
        <m:oMath/>
      </m:oMathPara>
    </w:p>
    <w:p>
      <w:pPr>
        <w:pStyle w:val="FirstParagraph"/>
      </w:pPr>
      <w:r>
        <w:t xml:space="preserve">En revanche, des stratégies plus sévères, telles que la restriction de</w:t>
      </w:r>
      <w:r>
        <w:t xml:space="preserve"> </w:t>
      </w:r>
      <w:r>
        <w:t xml:space="preserve">la consommation des adultes pour nourrir les enfants, sont moins</w:t>
      </w:r>
      <w:r>
        <w:t xml:space="preserve"> </w:t>
      </w:r>
      <w:r>
        <w:t xml:space="preserve">courantes : 76 % des ménages n’y ont pas eu recours, tandis que 15 %</w:t>
      </w:r>
      <w:r>
        <w:t xml:space="preserve"> </w:t>
      </w:r>
      <w:r>
        <w:t xml:space="preserve">l’ont utilisée un jour, 5,8 % deux jours, et 2,5 % trois jours. La</w:t>
      </w:r>
      <w:r>
        <w:t xml:space="preserve"> </w:t>
      </w:r>
      <w:r>
        <w:t xml:space="preserve">diminution de la quantité consommée pendant les repas et la réduction du</w:t>
      </w:r>
      <w:r>
        <w:t xml:space="preserve"> </w:t>
      </w:r>
      <w:r>
        <w:t xml:space="preserve">nombre de repas par jour présentent des profils similaires, avec</w:t>
      </w:r>
      <w:r>
        <w:t xml:space="preserve"> </w:t>
      </w:r>
      <w:r>
        <w:t xml:space="preserve">respectivement 62 % et 64 % des ménages n’y ayant pas eu recours.</w:t>
      </w:r>
    </w:p>
    <w:p>
      <w:pPr>
        <w:pStyle w:val="Corpsdetexte"/>
      </w:pPr>
      <m:oMathPara>
        <m:oMathParaPr>
          <m:jc m:val="center"/>
        </m:oMathParaPr>
        <m:oMath/>
      </m:oMathPara>
    </w:p>
    <w:bookmarkEnd w:id="56"/>
    <w:bookmarkStart w:id="57" w:name="Xef3c3ae1c50764637a09c4f1c15d419018ae920"/>
    <w:p>
      <w:pPr>
        <w:pStyle w:val="Titre4"/>
      </w:pPr>
      <w:r>
        <w:t xml:space="preserve">Calcul de l’indice réduit des stratégies de survie</w:t>
      </w:r>
    </w:p>
    <w:p>
      <w:pPr>
        <w:pStyle w:val="FirstParagraph"/>
      </w:pPr>
      <w:r>
        <w:t xml:space="preserve">Nous allons à présent calculer le RsCi. Nous allons nous basé sur le</w:t>
      </w:r>
      <w:r>
        <w:t xml:space="preserve"> </w:t>
      </w:r>
      <w:r>
        <w:t xml:space="preserve">document</w:t>
      </w:r>
      <w:r>
        <w:t xml:space="preserve"> </w:t>
      </w:r>
      <w:r>
        <w:rPr>
          <w:iCs/>
          <w:i/>
        </w:rPr>
        <w:t xml:space="preserve">The Coping Strategies Index: Field Methods Manual</w:t>
      </w:r>
      <w:r>
        <w:t xml:space="preserve"> </w:t>
      </w:r>
      <w:r>
        <w:t xml:space="preserve">produit par</w:t>
      </w:r>
      <w:r>
        <w:t xml:space="preserve"> </w:t>
      </w:r>
      <w:r>
        <w:t xml:space="preserve">Maxwell D. &amp; Caldwell R. (2008), mis dans le dossier document pour</w:t>
      </w:r>
      <w:r>
        <w:t xml:space="preserve"> </w:t>
      </w:r>
      <w:r>
        <w:t xml:space="preserve">l’attribution des poids (Dans celui-ci le total des poids est de 8)</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RsCi</w:t>
      </w:r>
    </w:p>
    <w:tbl xmlns:w14="http://schemas.microsoft.com/office/word/2010/wordml">
      <w:tblPr>
        <w:tblLayout w:type="autofit"/>
        <w:jc w:val="center"/>
        <w:tblW w:type="pct" w:w="0"/>
        <w:tblLook w:firstRow="1" w:lastRow="0" w:firstColumn="0" w:lastColumn="0" w:noHBand="0" w:noVBand="1"/>
      </w:tblPr>
      <w:tr>
        <w:trPr>
          <w:trHeight w:val="292" w:hRule="auto"/>
          <w:tblHeader/>
        </w:trPr>
        header1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Statistiques</w:t>
            </w:r>
          </w:p>
        </w:tc>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Valeurs</w:t>
            </w:r>
            <w:r>
              <w:rPr>
                <w:rFonts w:ascii="Arial" w:hAnsi="Arial" w:eastAsia="Arial" w:cs="Arial"/>
                <w:i w:val="false"/>
                <w:b w:val="true"/>
                <w:u w:val="none"/>
                <w:vertAlign w:val="superscript"/>
                <w:sz w:val="16"/>
                <w:szCs w:val="16"/>
                <w:color w:val="000000"/>
              </w:rPr>
              <w:t xml:space="preserve">1</w:t>
            </w:r>
          </w:p>
        </w:tc>
      </w:tr>
      <w:tr>
        <w:trPr>
          <w:trHeight w:val="294"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Relied on less preferred, less expensive food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5.8 (7.5), médiane 3.0, IQR 0.0–8.0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(SD), médiane Median, IQR Q1–Q3</w:t>
            </w:r>
          </w:p>
        </w:tc>
      </w:tr>
    </w:tbl>
    <w:p>
      <w:pPr>
        <w:pStyle w:val="Corpsdetexte"/>
      </w:pPr>
      <m:oMathPara>
        <m:oMathParaPr>
          <m:jc m:val="center"/>
        </m:oMathParaPr>
        <m:oMath/>
      </m:oMathPara>
    </w:p>
    <w:p>
      <w:pPr>
        <w:pStyle w:val="FirstParagraph"/>
      </w:pPr>
      <w:r>
        <w:t xml:space="preserve">L’indice réduit des stratégies de survie (rCSI) quantifie la fréquence</w:t>
      </w:r>
      <w:r>
        <w:t xml:space="preserve"> </w:t>
      </w:r>
      <w:r>
        <w:t xml:space="preserve">et la gravité des comportements adoptés par les ménages pour faire face</w:t>
      </w:r>
      <w:r>
        <w:t xml:space="preserve"> </w:t>
      </w:r>
      <w:r>
        <w:t xml:space="preserve">à une insécurité alimentaire. Avec une moyenne de 5,8 (écart-type 7,5),</w:t>
      </w:r>
      <w:r>
        <w:t xml:space="preserve"> </w:t>
      </w:r>
      <w:r>
        <w:t xml:space="preserve">on constate une très forte dispersion : certains ménages recourent</w:t>
      </w:r>
      <w:r>
        <w:t xml:space="preserve"> </w:t>
      </w:r>
      <w:r>
        <w:t xml:space="preserve">presque quotidiennement à ces stratégies, tandis que d’autres ne le font</w:t>
      </w:r>
      <w:r>
        <w:t xml:space="preserve"> </w:t>
      </w:r>
      <w:r>
        <w:t xml:space="preserve">que rarement, voire pas du tout. La médiane à est de 3,0 .</w:t>
      </w:r>
    </w:p>
    <w:p>
      <w:pPr>
        <w:pStyle w:val="Corpsdetexte"/>
      </w:pPr>
      <m:oMathPara>
        <m:oMathParaPr>
          <m:jc m:val="center"/>
        </m:oMathParaPr>
        <m:oMath/>
      </m:oMathPara>
    </w:p>
    <w:bookmarkEnd w:id="57"/>
    <w:bookmarkStart w:id="58" w:name="Xa5d32f8265a98b2b11317bf60cd2dbbbbdfe309"/>
    <w:p>
      <w:pPr>
        <w:pStyle w:val="Titre4"/>
      </w:pPr>
      <w:r>
        <w:t xml:space="preserve">Tableau récapitulatif des poids considérés</w:t>
      </w:r>
    </w:p>
    <w:p>
      <w:pPr>
        <w:pStyle w:val="FirstParagraph"/>
      </w:pPr>
      <w:r>
        <w:t xml:space="preserve">Nous présentons dans le tableau ci-contre, les différents poids</w:t>
      </w:r>
      <w:r>
        <w:t xml:space="preserve"> </w:t>
      </w:r>
      <w:r>
        <w:t xml:space="preserve">considérés.</w:t>
      </w:r>
    </w:p>
    <w:tbl xmlns:w14="http://schemas.microsoft.com/office/word/2010/wordml">
      <w:tblPr>
        <w:tblLayout w:type="fixed"/>
        <w:jc w:val="center"/>
        <w:tblLook w:firstRow="1" w:lastRow="0" w:firstColumn="0" w:lastColumn="0" w:noHBand="0" w:noVBand="1"/>
      </w:tblPr>
      <w:tblGrid>
        <w:gridCol w:w="2269"/>
        <w:gridCol w:w="1914"/>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Strategies_Survie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Poids.Attribué</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rCSILessQlty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rCSIBorrow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rCSIMealSize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rCSIMealAdult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w:t>
            </w:r>
          </w:p>
        </w:tc>
      </w:tr>
      <w:tr>
        <w:trPr>
          <w:trHeight w:val="57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rCSIMealNb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571"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bl>
    <w:p>
      <w:pPr>
        <w:pStyle w:val="Corpsdetexte"/>
      </w:pPr>
      <m:oMathPara>
        <m:oMathParaPr>
          <m:jc m:val="center"/>
        </m:oMathParaPr>
        <m:oMath/>
      </m:oMathPara>
    </w:p>
    <w:bookmarkEnd w:id="58"/>
    <w:bookmarkStart w:id="59" w:name="réprésentation-graphique-du-rsci"/>
    <w:p>
      <w:pPr>
        <w:pStyle w:val="Titre4"/>
      </w:pPr>
      <w:r>
        <w:t xml:space="preserve">Réprésentation graphique du rSCI</w:t>
      </w:r>
    </w:p>
    <w:p>
      <w:pPr>
        <w:pStyle w:val="FirstParagraph"/>
      </w:pPr>
      <w:r>
        <w:t xml:space="preserve">Visualisons la répartition par région du rSCI.</w:t>
      </w:r>
    </w:p>
    <w:p>
      <w:pPr>
        <w:jc w:val="center"/>
        <w:pStyle w:val="Figure"/>
      </w:pPr>
      <w:r>
        <w:rPr/>
        <w:drawing>
          <wp:inline distT="0" distB="0" distL="0" distR="0">
            <wp:extent cx="7315200" cy="54864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56"/>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0691b7ce-dbc3-41ba-b587-b5f48f92a849" w:name="cartographie_rSCI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691b7ce-dbc3-41ba-b587-b5f48f92a849"/>
      <w:r>
        <w:rPr>
          <w:rFonts/>
          <w:b w:val="true"/>
        </w:rPr>
        <w:t xml:space="preserve">: </w:t>
      </w:r>
      <w:r>
        <w:t xml:space="preserve">Carte du rSCI par région</w:t>
      </w:r>
    </w:p>
    <w:p>
      <w:pPr>
        <w:pStyle w:val="Corpsdetexte"/>
      </w:pPr>
      <m:oMathPara>
        <m:oMathParaPr>
          <m:jc m:val="center"/>
        </m:oMathParaPr>
        <m:oMath/>
      </m:oMathPara>
    </w:p>
    <w:p>
      <w:pPr>
        <w:pStyle w:val="FirstParagraph"/>
      </w:pPr>
      <w:r>
        <w:t xml:space="preserve">Visualisons la répartition par département du rSCI.</w:t>
      </w:r>
    </w:p>
    <w:p>
      <w:pPr>
        <w:jc w:val="center"/>
        <w:pStyle w:val="Figure"/>
      </w:pPr>
      <w:r>
        <w:rPr/>
        <w:drawing>
          <wp:inline distT="0" distB="0" distL="0" distR="0">
            <wp:extent cx="6400800" cy="4572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57"/>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9922bbc4-c595-40d7-8a1c-58da6128ab93" w:name="representation_spatiale_rSCI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922bbc4-c595-40d7-8a1c-58da6128ab93"/>
      <w:r>
        <w:rPr>
          <w:rFonts/>
          <w:b w:val="true"/>
        </w:rPr>
        <w:t xml:space="preserve">: </w:t>
      </w:r>
      <w:r>
        <w:t xml:space="preserve">Carte du rSCI par département</w:t>
      </w:r>
    </w:p>
    <w:bookmarkEnd w:id="59"/>
    <w:bookmarkEnd w:id="60"/>
    <w:bookmarkStart w:id="64" w:name="X0c142d2ad47df603600d837c2861a1cc95f7869"/>
    <w:p>
      <w:pPr>
        <w:pStyle w:val="Titre30"/>
      </w:pPr>
      <w:r>
        <w:t xml:space="preserve">Score de diversité alimentaire des ménages (HDDS)</w:t>
      </w:r>
    </w:p>
    <w:bookmarkStart w:id="61" w:name="X65b56baf0339e9b736f559abe26082e7284855d"/>
    <w:p>
      <w:pPr>
        <w:pStyle w:val="Titre4"/>
      </w:pPr>
      <w:r>
        <w:t xml:space="preserve">Analyse descriptive des variables qui composent le HDDS</w:t>
      </w:r>
    </w:p>
    <w:p>
      <w:pPr>
        <w:pStyle w:val="FirstParagraph"/>
      </w:pPr>
      <w:r>
        <w:t xml:space="preserve">Nous allons creer des variables binaires pour chaque sous groupe définis</w:t>
      </w:r>
      <w:r>
        <w:t xml:space="preserve"> </w:t>
      </w:r>
      <w:r>
        <w:t xml:space="preserve">dans le questionnaire, puis nous regroupons celles qui relèvent du même</w:t>
      </w:r>
      <w:r>
        <w:t xml:space="preserve"> </w:t>
      </w:r>
      <w:r>
        <w:t xml:space="preserve">grand groupe (par ex. bin_viande regroupe HDDSPrMeatF, HDDSPrMeatO et</w:t>
      </w:r>
      <w:r>
        <w:t xml:space="preserve"> </w:t>
      </w:r>
      <w:r>
        <w:t xml:space="preserve">HDDSPrMeat).</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Score de diversité alimentaire des ménages (hhds)</w:t>
            </w:r>
          </w:p>
        </w:tc>
      </w:tr>
      <w:tr>
        <w:trPr>
          <w:trHeight w:val="294" w:hRule="auto"/>
          <w:tblHeader/>
        </w:trPr>
        header 2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Score de diversité alimentaire des ménages</w:t>
            </w:r>
          </w:p>
        </w:tc>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Statistiques</w:t>
            </w:r>
            <w:r>
              <w:rPr>
                <w:rFonts w:ascii="Arial" w:hAnsi="Arial" w:eastAsia="Arial" w:cs="Arial"/>
                <w:i w:val="false"/>
                <w:b w:val="tru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Céréales et grains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412 (4.6%)</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8,509 (95%)</w:t>
            </w:r>
          </w:p>
        </w:tc>
      </w:tr>
      <w:tr>
        <w:trPr>
          <w:trHeight w:val="2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Racines et tubercules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6,129 (69%)</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2,792 (31%)</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Légumineuses et noix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3,518 (48%)</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3,749 (52%)</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Légumes orange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3,697 (91%)</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376 (9.2%)</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Légumes verts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2,886 (49%)</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2,970 (51%)</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Autres 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2,768 (42%)</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3,834 (58%)</w:t>
            </w:r>
          </w:p>
        </w:tc>
      </w:tr>
      <w:tr>
        <w:trPr>
          <w:trHeight w:val="29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Fruits orange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3,309 (96%)</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145 (4.2%)</w:t>
            </w:r>
          </w:p>
        </w:tc>
      </w:tr>
      <w:tr>
        <w:trPr>
          <w:trHeight w:val="2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Autres 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3,278 (87%)</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474 (13%)</w:t>
            </w:r>
          </w:p>
        </w:tc>
      </w:tr>
      <w:tr>
        <w:trPr>
          <w:trHeight w:val="2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Viande fraîche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4,269 (69%)</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1,953 (31%)</w:t>
            </w:r>
          </w:p>
        </w:tc>
      </w:tr>
      <w:tr>
        <w:trPr>
          <w:trHeight w:val="2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Autres viandes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3,544 (85%)</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620 (15%)</w:t>
            </w:r>
          </w:p>
        </w:tc>
      </w:tr>
      <w:tr>
        <w:trPr>
          <w:trHeight w:val="2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Poissons et fruits de 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3,096 (57%)</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2,350 (43%)</w:t>
            </w:r>
          </w:p>
        </w:tc>
      </w:tr>
      <w:tr>
        <w:trPr>
          <w:trHeight w:val="2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3,368 (94%)</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229 (6.4%)</w:t>
            </w:r>
          </w:p>
        </w:tc>
      </w:tr>
      <w:tr>
        <w:trPr>
          <w:trHeight w:val="2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3,149 (49%)</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3,249 (51%)</w:t>
            </w:r>
          </w:p>
        </w:tc>
      </w:tr>
      <w:tr>
        <w:trPr>
          <w:trHeight w:val="29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Huiles et graisses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1,192 (14%)</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7,447 (86%)</w:t>
            </w:r>
          </w:p>
        </w:tc>
      </w:tr>
      <w:tr>
        <w:trPr>
          <w:trHeight w:val="26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Sucre et sucreries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1,346 (16%)</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6,826 (84%)</w:t>
            </w:r>
          </w:p>
        </w:tc>
      </w:tr>
      <w:tr>
        <w:trPr>
          <w:trHeight w:val="29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Condiments et épices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1,087 (13%)</w:t>
            </w:r>
          </w:p>
        </w:tc>
      </w:tr>
      <w:tr>
        <w:trPr>
          <w:trHeight w:val="294" w:hRule="auto"/>
        </w:trPr>
        body48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7,515 (87%)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Corpsdetexte"/>
      </w:pPr>
      <m:oMathPara>
        <m:oMathParaPr>
          <m:jc m:val="center"/>
        </m:oMathParaPr>
        <m:oMath/>
      </m:oMathPara>
    </w:p>
    <w:p>
      <w:pPr>
        <w:pStyle w:val="FirstParagraph"/>
      </w:pPr>
      <w:r>
        <w:t xml:space="preserve">L’analyse descriptive des variable relevant du score de diversité</w:t>
      </w:r>
      <w:r>
        <w:t xml:space="preserve"> </w:t>
      </w:r>
      <w:r>
        <w:t xml:space="preserve">alimentaire révèle que la majorité des ménages consomment principalement</w:t>
      </w:r>
      <w:r>
        <w:t xml:space="preserve"> </w:t>
      </w:r>
      <w:r>
        <w:t xml:space="preserve">des aliments tels que les céréales (95 %), les huiles (86 %), le sucre</w:t>
      </w:r>
      <w:r>
        <w:t xml:space="preserve"> </w:t>
      </w:r>
      <w:r>
        <w:t xml:space="preserve">(84 %) et les condiments (87 %). En revanche, les aliments tels que</w:t>
      </w:r>
      <w:r>
        <w:t xml:space="preserve"> </w:t>
      </w:r>
      <w:r>
        <w:t xml:space="preserve">fruits, les œufs, la viande (autre que fraiche) et les légumes orange</w:t>
      </w:r>
      <w:r>
        <w:t xml:space="preserve"> </w:t>
      </w:r>
      <w:r>
        <w:t xml:space="preserve">sont faiblement consommés, avec des taux inférieurs à 15 % pour</w:t>
      </w:r>
      <w:r>
        <w:t xml:space="preserve"> </w:t>
      </w:r>
      <w:r>
        <w:t xml:space="preserve">certains.</w:t>
      </w:r>
    </w:p>
    <w:bookmarkEnd w:id="61"/>
    <w:bookmarkStart w:id="62" w:name="X9778b5da5063a50bb5a24c39c3531a2ba4afa8f"/>
    <w:p>
      <w:pPr>
        <w:pStyle w:val="Titre4"/>
      </w:pPr>
      <w:r>
        <w:t xml:space="preserve">Calcul du Score de diversité alimentaire des ménages</w:t>
      </w:r>
    </w:p>
    <w:p>
      <w:pPr>
        <w:jc w:val="center"/>
        <w:pStyle w:val="Figure"/>
      </w:pPr>
      <w:r>
        <w:rPr/>
        <w:drawing>
          <wp:inline distT="0" distB="0" distL="0" distR="0">
            <wp:extent cx="45720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58"/>
                    <a:stretch>
                      <a:fillRect/>
                    </a:stretch>
                  </pic:blipFill>
                  <pic:spPr bwMode="auto">
                    <a:xfrm>
                      <a:off x="0" y="0"/>
                      <a:ext cx="63500" cy="50800"/>
                    </a:xfrm>
                    <a:prstGeom prst="rect">
                      <a:avLst/>
                    </a:prstGeom>
                    <a:noFill/>
                  </pic:spPr>
                </pic:pic>
              </a:graphicData>
            </a:graphic>
          </wp:inline>
        </w:drawing>
      </w:r>
    </w:p>
    <w:p>
      <w:pPr>
        <w:pStyle w:val="SourceCode"/>
      </w:pPr>
      <w:r>
        <w:rPr>
          <w:rStyle w:val="VerbatimChar"/>
        </w:rPr>
        <w:t xml:space="preserve">NULL</w:t>
      </w:r>
    </w:p>
    <w:p>
      <w:pPr>
        <w:pStyle w:val="FirstParagraph"/>
      </w:pPr>
      <m:oMathPara>
        <m:oMathParaPr>
          <m:jc m:val="center"/>
        </m:oMathParaPr>
        <m:oMath/>
      </m:oMathPara>
    </w:p>
    <w:p>
      <w:pPr>
        <w:pStyle w:val="FirstParagraph"/>
      </w:pPr>
      <w:r>
        <w:t xml:space="preserve">L’analyse du score de diversité alimentaire (HDDS_score) montre une</w:t>
      </w:r>
      <w:r>
        <w:t xml:space="preserve"> </w:t>
      </w:r>
      <w:r>
        <w:t xml:space="preserve">distribution variée des scores au sein de la population étudiée. La</w:t>
      </w:r>
      <w:r>
        <w:t xml:space="preserve"> </w:t>
      </w:r>
      <w:r>
        <w:t xml:space="preserve">majorité des ménages présente un score de 5 à 7. Cependant, une</w:t>
      </w:r>
      <w:r>
        <w:t xml:space="preserve"> </w:t>
      </w:r>
      <w:r>
        <w:t xml:space="preserve">proportion notable de ménages obtient un score faible, avec 78 ménages</w:t>
      </w:r>
      <w:r>
        <w:t xml:space="preserve"> </w:t>
      </w:r>
      <w:r>
        <w:t xml:space="preserve">ayant un score de 0 (indiquant une absence de consommation des groupes</w:t>
      </w:r>
      <w:r>
        <w:t xml:space="preserve"> </w:t>
      </w:r>
      <w:r>
        <w:t xml:space="preserve">alimentaires), et des scores croissants dans la gamme de 1 à 4. À</w:t>
      </w:r>
      <w:r>
        <w:t xml:space="preserve"> </w:t>
      </w:r>
      <w:r>
        <w:t xml:space="preserve">l’inverse, des scores très élevés (15 et 16) sont moins fréquents, avec</w:t>
      </w:r>
      <w:r>
        <w:t xml:space="preserve"> </w:t>
      </w:r>
      <w:r>
        <w:t xml:space="preserve">seulement 15 et 20 ménages respectivement ayant ces scores.</w:t>
      </w:r>
    </w:p>
    <w:bookmarkEnd w:id="62"/>
    <w:bookmarkStart w:id="63" w:name="répartition-géographique-du-hhds"/>
    <w:p>
      <w:pPr>
        <w:pStyle w:val="Titre4"/>
      </w:pPr>
      <w:r>
        <w:t xml:space="preserve">Répartition géographique du hhds</w:t>
      </w:r>
    </w:p>
    <w:p>
      <w:pPr>
        <w:pStyle w:val="FirstParagraph"/>
      </w:pPr>
      <m:oMathPara>
        <m:oMathParaPr>
          <m:jc m:val="center"/>
        </m:oMathParaPr>
        <m:oMath/>
      </m:oMathPara>
    </w:p>
    <w:p>
      <w:pPr>
        <w:pStyle w:val="FirstParagraph"/>
      </w:pPr>
      <w:r>
        <w:t xml:space="preserve">Visualisons la répartition par région du hhds.</w:t>
      </w:r>
    </w:p>
    <w:p>
      <w:pPr>
        <w:jc w:val="center"/>
        <w:pStyle w:val="Figure"/>
      </w:pPr>
      <w:r>
        <w:rPr/>
        <w:drawing>
          <wp:inline distT="0" distB="0" distL="0" distR="0">
            <wp:extent cx="731520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59"/>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a4b95363-b73e-4902-969f-d7c857a4add4" w:name="cartographie_HDDS_score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4b95363-b73e-4902-969f-d7c857a4add4"/>
      <w:r>
        <w:rPr>
          <w:rFonts/>
          <w:b w:val="true"/>
        </w:rPr>
        <w:t xml:space="preserve">: </w:t>
      </w:r>
      <w:r>
        <w:t xml:space="preserve">Carte du score de hdds par région</w:t>
      </w:r>
    </w:p>
    <w:p>
      <w:pPr>
        <w:pStyle w:val="Corpsdetexte"/>
      </w:pPr>
      <m:oMathPara>
        <m:oMathParaPr>
          <m:jc m:val="center"/>
        </m:oMathParaPr>
        <m:oMath/>
      </m:oMathPara>
    </w:p>
    <w:p>
      <w:pPr>
        <w:pStyle w:val="FirstParagraph"/>
      </w:pPr>
      <w:r>
        <w:t xml:space="preserve">Visualisons la répartition par département du hhds.</w:t>
      </w:r>
    </w:p>
    <w:p>
      <w:pPr>
        <w:jc w:val="center"/>
        <w:pStyle w:val="Figure"/>
      </w:pPr>
      <w:r>
        <w:rPr/>
        <w:drawing>
          <wp:inline distT="0" distB="0" distL="0" distR="0">
            <wp:extent cx="6400800" cy="45720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60"/>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28416e54-2768-432e-8bf8-e83a67d04182" w:name="representation_spatiale_HDDS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8416e54-2768-432e-8bf8-e83a67d04182"/>
      <w:r>
        <w:rPr>
          <w:rFonts/>
          <w:b w:val="true"/>
        </w:rPr>
        <w:t xml:space="preserve">: </w:t>
      </w:r>
      <w:r>
        <w:t xml:space="preserve">Carte du score de hdds par département</w:t>
      </w:r>
    </w:p>
    <w:p>
      <w:pPr>
        <w:pStyle w:val="Corpsdetexte"/>
      </w:pPr>
      <m:oMathPara>
        <m:oMathParaPr>
          <m:jc m:val="center"/>
        </m:oMathParaPr>
        <m:oMath/>
      </m:oMathPara>
    </w:p>
    <w:bookmarkEnd w:id="63"/>
    <w:bookmarkEnd w:id="64"/>
    <w:bookmarkStart w:id="68" w:name="X33a1165d97efc642e00c134c3d58785365995b5"/>
    <w:p>
      <w:pPr>
        <w:pStyle w:val="Titre30"/>
      </w:pPr>
      <w:r>
        <w:t xml:space="preserve">Stratégies d’adaptation aux moyens d’existence (LhCSI)</w:t>
      </w:r>
    </w:p>
    <w:p>
      <w:pPr>
        <w:pStyle w:val="FirstParagraph"/>
      </w:pPr>
      <w:r>
        <w:t xml:space="preserve">Les indicateurs de stratégies d’adaptation des moyens de subsistance (</w:t>
      </w:r>
      <w:r>
        <w:rPr>
          <w:bCs/>
          <w:b/>
        </w:rPr>
        <w:t xml:space="preserve">LCS</w:t>
      </w:r>
      <w:r>
        <w:t xml:space="preserve">) sont des indicateurs mesurés au niveau des ménages. Ils sont relativement simples et corrélés à d’autres mesures de la sécurité alimentaire et de la vulnérabilité.</w:t>
      </w:r>
    </w:p>
    <w:p>
      <w:pPr>
        <w:pStyle w:val="Corpsdetexte"/>
      </w:pPr>
      <m:oMathPara>
        <m:oMathParaPr>
          <m:jc m:val="center"/>
        </m:oMathParaPr>
        <m:oMath/>
      </m:oMathPara>
    </w:p>
    <w:p>
      <w:pPr>
        <w:pStyle w:val="FirstParagraph"/>
      </w:pPr>
      <w:r>
        <w:t xml:space="preserve">Ils se basent sur une série de questions portant sur la manière dont les ménages parviennent à faire face aux</w:t>
      </w:r>
      <w:r>
        <w:t xml:space="preserve"> </w:t>
      </w:r>
      <w:r>
        <w:rPr>
          <w:bCs/>
          <w:b/>
        </w:rPr>
        <w:t xml:space="preserve">chocs affectant leurs moyens de subsistance</w:t>
      </w:r>
      <w:r>
        <w:t xml:space="preserve">. Les indicateurs LCS évaluent les</w:t>
      </w:r>
      <w:r>
        <w:t xml:space="preserve"> </w:t>
      </w:r>
      <w:r>
        <w:rPr>
          <w:bCs/>
          <w:b/>
        </w:rPr>
        <w:t xml:space="preserve">capacités d’adaptation</w:t>
      </w:r>
      <w:r>
        <w:t xml:space="preserve"> </w:t>
      </w:r>
      <w:r>
        <w:t xml:space="preserve">et de</w:t>
      </w:r>
      <w:r>
        <w:t xml:space="preserve"> </w:t>
      </w:r>
      <w:r>
        <w:rPr>
          <w:bCs/>
          <w:b/>
        </w:rPr>
        <w:t xml:space="preserve">production des ménages à moyen et long terme</w:t>
      </w:r>
      <w:r>
        <w:t xml:space="preserve">, ainsi que leur impact futur sur les besoins alimentaires.</w:t>
      </w:r>
    </w:p>
    <w:p>
      <w:pPr>
        <w:pStyle w:val="Corpsdetexte"/>
      </w:pPr>
      <m:oMathPara>
        <m:oMathParaPr>
          <m:jc m:val="center"/>
        </m:oMathParaPr>
        <m:oMath/>
      </m:oMathPara>
    </w:p>
    <w:p>
      <w:pPr>
        <w:pStyle w:val="BlockText"/>
      </w:pPr>
      <w:r>
        <w:rPr>
          <w:bCs/>
          <w:b/>
        </w:rPr>
        <w:t xml:space="preserve">Deux versions</w:t>
      </w:r>
      <w:r>
        <w:t xml:space="preserve"> </w:t>
      </w:r>
      <w:r>
        <w:t xml:space="preserve">de l’indicateur LCS existent :</w:t>
      </w:r>
      <w:r>
        <w:t xml:space="preserve"> </w:t>
      </w:r>
      <w:r>
        <w:t xml:space="preserve">-</w:t>
      </w:r>
      <w:r>
        <w:t xml:space="preserve"> </w:t>
      </w:r>
      <w:r>
        <w:rPr>
          <w:bCs/>
          <w:b/>
        </w:rPr>
        <w:t xml:space="preserve">LCS-FS</w:t>
      </w:r>
      <w:r>
        <w:t xml:space="preserve"> </w:t>
      </w:r>
      <w:r>
        <w:t xml:space="preserve">: pour la sécurité alimentaire (Food Security)</w:t>
      </w:r>
      <w:r>
        <w:t xml:space="preserve"> </w:t>
      </w:r>
      <w:r>
        <w:t xml:space="preserve">-</w:t>
      </w:r>
      <w:r>
        <w:t xml:space="preserve"> </w:t>
      </w:r>
      <w:r>
        <w:rPr>
          <w:bCs/>
          <w:b/>
        </w:rPr>
        <w:t xml:space="preserve">LCS-EN</w:t>
      </w:r>
      <w:r>
        <w:t xml:space="preserve"> </w:t>
      </w:r>
      <w:r>
        <w:t xml:space="preserve">: pour les besoins essentiels (Essential Needs)</w:t>
      </w:r>
    </w:p>
    <w:p>
      <w:pPr>
        <w:pStyle w:val="FirstParagraph"/>
      </w:pPr>
      <w:r>
        <w:t xml:space="preserve">Dans le cadre de ce projet, nous nous intéressons spécifiquement à</w:t>
      </w:r>
      <w:r>
        <w:t xml:space="preserve"> </w:t>
      </w:r>
      <w:r>
        <w:rPr>
          <w:bCs/>
          <w:b/>
        </w:rPr>
        <w:t xml:space="preserve">LCS-FS</w:t>
      </w:r>
      <w:r>
        <w:t xml:space="preserve">.</w:t>
      </w:r>
    </w:p>
    <w:p>
      <w:pPr>
        <w:pStyle w:val="Corpsdetexte"/>
      </w:pPr>
      <m:oMathPara>
        <m:oMathParaPr>
          <m:jc m:val="center"/>
        </m:oMathParaPr>
        <m:oMath/>
      </m:oMathPara>
    </w:p>
    <w:p>
      <w:pPr>
        <w:pStyle w:val="FirstParagraph"/>
      </w:pPr>
      <w:r>
        <w:t xml:space="preserve">L’adoption des stratégies d’adaptation suit généralement une progression</w:t>
      </w:r>
      <w:r>
        <w:t xml:space="preserve"> </w:t>
      </w:r>
      <w:r>
        <w:rPr>
          <w:bCs/>
          <w:b/>
        </w:rPr>
        <w:t xml:space="preserve">séquentielle</w:t>
      </w:r>
      <w:r>
        <w:t xml:space="preserve">, du stress à la crise, puis à l’urgence.</w:t>
      </w:r>
    </w:p>
    <w:p>
      <w:pPr>
        <w:pStyle w:val="Corpsdetexte"/>
      </w:pPr>
      <m:oMathPara>
        <m:oMathParaPr>
          <m:jc m:val="center"/>
        </m:oMathParaPr>
        <m:oMath/>
      </m:oMathPara>
    </w:p>
    <w:p>
      <w:pPr>
        <w:pStyle w:val="FirstParagraph"/>
      </w:pPr>
      <w:r>
        <w:t xml:space="preserve">🔹 Sévérité –</w:t>
      </w:r>
      <w:r>
        <w:t xml:space="preserve"> </w:t>
      </w:r>
      <w:r>
        <w:rPr>
          <w:iCs/>
          <w:i/>
        </w:rPr>
        <w:t xml:space="preserve">Stress</w:t>
      </w:r>
      <w:r>
        <w:t xml:space="preserve"> </w:t>
      </w:r>
      <w:r>
        <w:t xml:space="preserve">- Le ménage commence à</w:t>
      </w:r>
      <w:r>
        <w:t xml:space="preserve"> </w:t>
      </w:r>
      <w:r>
        <w:rPr>
          <w:bCs/>
          <w:b/>
        </w:rPr>
        <w:t xml:space="preserve">se débarrasser progressivement de ses actifs</w:t>
      </w:r>
      <w:r>
        <w:t xml:space="preserve"> </w:t>
      </w:r>
      <w:r>
        <w:t xml:space="preserve">: dépenses de l’épargne, vente de biens non essentiels, emprunts.</w:t>
      </w:r>
      <w:r>
        <w:t xml:space="preserve"> </w:t>
      </w:r>
      <w:r>
        <w:t xml:space="preserve">- Cela indique une</w:t>
      </w:r>
      <w:r>
        <w:t xml:space="preserve"> </w:t>
      </w:r>
      <w:r>
        <w:rPr>
          <w:bCs/>
          <w:b/>
        </w:rPr>
        <w:t xml:space="preserve">capacité réduite à faire face à de futurs chocs</w:t>
      </w:r>
      <w:r>
        <w:t xml:space="preserve">, en raison d’une diminution des ressources ou de l’augmentation des dettes.</w:t>
      </w:r>
    </w:p>
    <w:p>
      <w:pPr>
        <w:pStyle w:val="Corpsdetexte"/>
      </w:pPr>
      <m:oMathPara>
        <m:oMathParaPr>
          <m:jc m:val="center"/>
        </m:oMathParaPr>
        <m:oMath/>
      </m:oMathPara>
    </w:p>
    <w:p>
      <w:pPr>
        <w:pStyle w:val="FirstParagraph"/>
      </w:pPr>
      <w:r>
        <w:t xml:space="preserve">🔸 Sévérité –</w:t>
      </w:r>
      <w:r>
        <w:t xml:space="preserve"> </w:t>
      </w:r>
      <w:r>
        <w:rPr>
          <w:iCs/>
          <w:i/>
        </w:rPr>
        <w:t xml:space="preserve">Crise</w:t>
      </w:r>
      <w:r>
        <w:t xml:space="preserve"> </w:t>
      </w:r>
      <w:r>
        <w:t xml:space="preserve">- En cas d’aggravation, le ménage a recours à des</w:t>
      </w:r>
      <w:r>
        <w:t xml:space="preserve"> </w:t>
      </w:r>
      <w:r>
        <w:rPr>
          <w:bCs/>
          <w:b/>
        </w:rPr>
        <w:t xml:space="preserve">stratégies de crise</w:t>
      </w:r>
      <w:r>
        <w:t xml:space="preserve"> </w:t>
      </w:r>
      <w:r>
        <w:t xml:space="preserve">: vente d’actifs productifs, réduction des dépenses essentielles (santé, éducation, etc.).</w:t>
      </w:r>
      <w:r>
        <w:t xml:space="preserve"> </w:t>
      </w:r>
      <w:r>
        <w:t xml:space="preserve">- Ces stratégies</w:t>
      </w:r>
      <w:r>
        <w:t xml:space="preserve"> </w:t>
      </w:r>
      <w:r>
        <w:rPr>
          <w:bCs/>
          <w:b/>
        </w:rPr>
        <w:t xml:space="preserve">diminuent la productivité future</w:t>
      </w:r>
      <w:r>
        <w:t xml:space="preserve"> </w:t>
      </w:r>
      <w:r>
        <w:t xml:space="preserve">et affectent la formation du</w:t>
      </w:r>
      <w:r>
        <w:t xml:space="preserve"> </w:t>
      </w:r>
      <w:r>
        <w:rPr>
          <w:bCs/>
          <w:b/>
        </w:rPr>
        <w:t xml:space="preserve">capital humain</w:t>
      </w:r>
      <w:r>
        <w:t xml:space="preserve">.</w:t>
      </w:r>
    </w:p>
    <w:p>
      <w:pPr>
        <w:pStyle w:val="Corpsdetexte"/>
      </w:pPr>
      <m:oMathPara>
        <m:oMathParaPr>
          <m:jc m:val="center"/>
        </m:oMathParaPr>
        <m:oMath/>
      </m:oMathPara>
    </w:p>
    <w:p>
      <w:pPr>
        <w:pStyle w:val="FirstParagraph"/>
      </w:pPr>
      <w:r>
        <w:t xml:space="preserve">🔺 Sévérité –</w:t>
      </w:r>
      <w:r>
        <w:t xml:space="preserve"> </w:t>
      </w:r>
      <w:r>
        <w:rPr>
          <w:iCs/>
          <w:i/>
        </w:rPr>
        <w:t xml:space="preserve">Urgence</w:t>
      </w:r>
      <w:r>
        <w:t xml:space="preserve"> </w:t>
      </w:r>
      <w:r>
        <w:t xml:space="preserve">- Dernier recours :</w:t>
      </w:r>
      <w:r>
        <w:t xml:space="preserve"> </w:t>
      </w:r>
      <w:r>
        <w:rPr>
          <w:bCs/>
          <w:b/>
        </w:rPr>
        <w:t xml:space="preserve">vente de l’unique maison/terrain</w:t>
      </w:r>
      <w:r>
        <w:t xml:space="preserve">, mendicité, pillage, vente du</w:t>
      </w:r>
      <w:r>
        <w:t xml:space="preserve"> </w:t>
      </w:r>
      <w:r>
        <w:rPr>
          <w:bCs/>
          <w:b/>
        </w:rPr>
        <w:t xml:space="preserve">dernier animal femelle productif</w:t>
      </w:r>
      <w:r>
        <w:t xml:space="preserve">.</w:t>
      </w:r>
      <w:r>
        <w:t xml:space="preserve"> </w:t>
      </w:r>
      <w:r>
        <w:t xml:space="preserve">- Ces actions révèlent une</w:t>
      </w:r>
      <w:r>
        <w:t xml:space="preserve"> </w:t>
      </w:r>
      <w:r>
        <w:rPr>
          <w:bCs/>
          <w:b/>
        </w:rPr>
        <w:t xml:space="preserve">incapacité à faire face</w:t>
      </w:r>
      <w:r>
        <w:t xml:space="preserve"> </w:t>
      </w:r>
      <w:r>
        <w:t xml:space="preserve">à la crise, avec des effets</w:t>
      </w:r>
      <w:r>
        <w:t xml:space="preserve"> </w:t>
      </w:r>
      <w:r>
        <w:rPr>
          <w:bCs/>
          <w:b/>
        </w:rPr>
        <w:t xml:space="preserve">dramatiques et difficilement réversibles</w:t>
      </w:r>
      <w:r>
        <w:t xml:space="preserve"> </w:t>
      </w:r>
      <w:r>
        <w:t xml:space="preserve">sur la productivité future.</w:t>
      </w:r>
    </w:p>
    <w:p>
      <w:pPr>
        <w:pStyle w:val="Corpsdetexte"/>
      </w:pPr>
      <m:oMathPara>
        <m:oMathParaPr>
          <m:jc m:val="center"/>
        </m:oMathParaPr>
        <m:oMath/>
      </m:oMathPara>
    </w:p>
    <w:p>
      <w:pPr>
        <w:pStyle w:val="FirstParagraph"/>
      </w:pPr>
      <m:oMathPara>
        <m:oMathParaPr>
          <m:jc m:val="center"/>
        </m:oMathParaPr>
        <m:oMath/>
      </m:oMathPara>
    </w:p>
    <w:bookmarkStart w:id="65" w:name="Xd2b01b6af5b7cdc5e07a5a70d3959c1715aff27"/>
    <w:p>
      <w:pPr>
        <w:pStyle w:val="Titre4"/>
      </w:pPr>
      <w:r>
        <w:t xml:space="preserve">Analyse descriptive des variables qui composent le LhCSIZ</w:t>
      </w:r>
    </w:p>
    <w:p>
      <w:pPr>
        <w:pStyle w:val="FirstParagraph"/>
      </w:pPr>
      <w:r>
        <w:t xml:space="preserve">Nous analysons ici, pour chacun des 11 comportements du module LhCSI, la proportion de ménages y ayant eu recours (réponse</w:t>
      </w:r>
      <w:r>
        <w:t xml:space="preserve"> </w:t>
      </w:r>
      <w:r>
        <w:t xml:space="preserve">“</w:t>
      </w:r>
      <w:r>
        <w:t xml:space="preserve">3 = Oui</w:t>
      </w:r>
      <w:r>
        <w:t xml:space="preserve">”</w:t>
      </w:r>
      <w:r>
        <w:t xml:space="preserve">) au cours des 30 derniers jours.</w:t>
      </w:r>
    </w:p>
    <w:tbl xmlns:w14="http://schemas.microsoft.com/office/word/2010/wordml">
      <w:tblPr>
        <w:tblLayout w:type="autofit"/>
        <w:jc w:val="center"/>
        <w:tblW w:type="pct" w:w="0"/>
        <w:tblLook w:firstRow="1" w:lastRow="0" w:firstColumn="0" w:lastColumn="0" w:noHBand="0" w:noVBand="1"/>
      </w:tblPr>
      <w:tr>
        <w:trPr>
          <w:trHeight w:val="385" w:hRule="auto"/>
          <w:tblHeader/>
        </w:trPr>
        header 1
        <w:tc>
          <w:tcPr>
            <w:gridSpan w:val="2"/>
            <w:tcBorders>
              <w:bottom w:val="single" w:sz="6"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Analyse descriptive des stratégies LhCSI</w:t>
            </w:r>
          </w:p>
        </w:tc>
      </w:tr>
      <w:tr>
        <w:trPr>
          <w:trHeight w:val="385" w:hRule="auto"/>
          <w:tblHeader/>
        </w:trPr>
        header 2
        <w:tc>
          <w:tcPr>
            <w:tcBorders>
              <w:bottom w:val="single" w:sz="12" w:space="0" w:color="666666"/>
              <w:top w:val="single" w:sz="6"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Comportement</w:t>
            </w:r>
          </w:p>
        </w:tc>
        <w:tc>
          <w:tcPr>
            <w:tcBorders>
              <w:bottom w:val="single" w:sz="12" w:space="0" w:color="666666"/>
              <w:top w:val="single" w:sz="6"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Oui (n %)</w:t>
            </w:r>
            <w:r>
              <w:rPr>
                <w:rFonts w:ascii="Arial" w:hAnsi="Arial" w:eastAsia="Arial" w:cs="Arial"/>
                <w:i w:val="false"/>
                <w:b w:val="true"/>
                <w:u w:val="none"/>
                <w:vertAlign w:val="superscript"/>
                <w:sz w:val="20"/>
                <w:szCs w:val="20"/>
                <w:color w:val="000000"/>
              </w:rPr>
              <w:t xml:space="preserve">1</w:t>
            </w:r>
          </w:p>
        </w:tc>
      </w:tr>
      <w:tr>
        <w:trPr>
          <w:trHeight w:val="382"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Stress – Vendre actifs non productifs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0.0 (0.0%)</w:t>
            </w:r>
          </w:p>
        </w:tc>
      </w:tr>
      <w:tr>
        <w:trPr>
          <w:trHeight w:val="385"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0.0 (0.0%)</w:t>
            </w:r>
          </w:p>
        </w:tc>
      </w:tr>
      <w:tr>
        <w:trPr>
          <w:trHeight w:val="385"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0.0 (0.0%)</w:t>
            </w:r>
          </w:p>
        </w:tc>
      </w:tr>
      <w:tr>
        <w:trPr>
          <w:trHeight w:val="385"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8,950.0 (100.0%)</w:t>
            </w:r>
          </w:p>
        </w:tc>
      </w:tr>
      <w:tr>
        <w:trPr>
          <w:trHeight w:val="345"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Stress – Plus de vente d’animaux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3,156.0 (35.3%)</w:t>
            </w:r>
          </w:p>
        </w:tc>
      </w:tr>
      <w:tr>
        <w:trPr>
          <w:trHeight w:val="385"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1,473.0 (16.5%)</w:t>
            </w:r>
          </w:p>
        </w:tc>
      </w:tr>
      <w:tr>
        <w:trPr>
          <w:trHeight w:val="385"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420.0 (4.7%)</w:t>
            </w:r>
          </w:p>
        </w:tc>
      </w:tr>
      <w:tr>
        <w:trPr>
          <w:trHeight w:val="385"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3,901.0 (43.6%)</w:t>
            </w:r>
          </w:p>
        </w:tc>
      </w:tr>
      <w:tr>
        <w:trPr>
          <w:trHeight w:val="385"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Stress – Dépenser l’épargne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2,763.0 (30.9%)</w:t>
            </w:r>
          </w:p>
        </w:tc>
      </w:tr>
      <w:tr>
        <w:trPr>
          <w:trHeight w:val="385"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1,233.0 (13.8%)</w:t>
            </w:r>
          </w:p>
        </w:tc>
      </w:tr>
      <w:tr>
        <w:trPr>
          <w:trHeight w:val="385"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375.0 (4.2%)</w:t>
            </w:r>
          </w:p>
        </w:tc>
      </w:tr>
      <w:tr>
        <w:trPr>
          <w:trHeight w:val="385"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4,579.0 (51.2%)</w:t>
            </w:r>
          </w:p>
        </w:tc>
      </w:tr>
      <w:tr>
        <w:trPr>
          <w:trHeight w:val="385"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Stress – Emprunter argent/nourriture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3,258.0 (36.4%)</w:t>
            </w:r>
          </w:p>
        </w:tc>
      </w:tr>
      <w:tr>
        <w:trPr>
          <w:trHeight w:val="385"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1,384.0 (15.5%)</w:t>
            </w:r>
          </w:p>
        </w:tc>
      </w:tr>
      <w:tr>
        <w:trPr>
          <w:trHeight w:val="385"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1,719.0 (19.2%)</w:t>
            </w:r>
          </w:p>
        </w:tc>
      </w:tr>
      <w:tr>
        <w:trPr>
          <w:trHeight w:val="385"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2,589.0 (28.9%)</w:t>
            </w:r>
          </w:p>
        </w:tc>
      </w:tr>
      <w:tr>
        <w:trPr>
          <w:trHeight w:val="382"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Crise – Réduire dépenses santé/école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3,487.0 (39.0%)</w:t>
            </w:r>
          </w:p>
        </w:tc>
      </w:tr>
      <w:tr>
        <w:trPr>
          <w:trHeight w:val="385"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1,549.0 (17.3%)</w:t>
            </w:r>
          </w:p>
        </w:tc>
      </w:tr>
      <w:tr>
        <w:trPr>
          <w:trHeight w:val="385"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300.0 (3.4%)</w:t>
            </w:r>
          </w:p>
        </w:tc>
      </w:tr>
      <w:tr>
        <w:trPr>
          <w:trHeight w:val="385"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3,614.0 (40.4%)</w:t>
            </w:r>
          </w:p>
        </w:tc>
      </w:tr>
      <w:tr>
        <w:trPr>
          <w:trHeight w:val="382"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Crise – Vendre actifs productifs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2,870.0 (32.1%)</w:t>
            </w:r>
          </w:p>
        </w:tc>
      </w:tr>
      <w:tr>
        <w:trPr>
          <w:trHeight w:val="385" w:hRule="auto"/>
        </w:trPr>
        body28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1,269.0 (14.2%)</w:t>
            </w:r>
          </w:p>
        </w:tc>
      </w:tr>
      <w:tr>
        <w:trPr>
          <w:trHeight w:val="385" w:hRule="auto"/>
        </w:trPr>
        body29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163.0 (1.8%)</w:t>
            </w:r>
          </w:p>
        </w:tc>
      </w:tr>
      <w:tr>
        <w:trPr>
          <w:trHeight w:val="385" w:hRule="auto"/>
        </w:trPr>
        body30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4,648.0 (51.9%)</w:t>
            </w:r>
          </w:p>
        </w:tc>
      </w:tr>
      <w:tr>
        <w:trPr>
          <w:trHeight w:val="345" w:hRule="auto"/>
        </w:trPr>
        body31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Crise – Retirer enfants de l’école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3,231.0 (36.1%)</w:t>
            </w:r>
          </w:p>
        </w:tc>
      </w:tr>
      <w:tr>
        <w:trPr>
          <w:trHeight w:val="385" w:hRule="auto"/>
        </w:trPr>
        body33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1,397.0 (15.6%)</w:t>
            </w:r>
          </w:p>
        </w:tc>
      </w:tr>
      <w:tr>
        <w:trPr>
          <w:trHeight w:val="385" w:hRule="auto"/>
        </w:trPr>
        body34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108.0 (1.2%)</w:t>
            </w:r>
          </w:p>
        </w:tc>
      </w:tr>
      <w:tr>
        <w:trPr>
          <w:trHeight w:val="385" w:hRule="auto"/>
        </w:trPr>
        body35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4,214.0 (47.1%)</w:t>
            </w:r>
          </w:p>
        </w:tc>
      </w:tr>
      <w:tr>
        <w:trPr>
          <w:trHeight w:val="385" w:hRule="auto"/>
        </w:trPr>
        body36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Urgence – Vendre maison/terrain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3,259.0 (36.4%)</w:t>
            </w:r>
          </w:p>
        </w:tc>
      </w:tr>
      <w:tr>
        <w:trPr>
          <w:trHeight w:val="385" w:hRule="auto"/>
        </w:trPr>
        body38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1,387.0 (15.5%)</w:t>
            </w:r>
          </w:p>
        </w:tc>
      </w:tr>
      <w:tr>
        <w:trPr>
          <w:trHeight w:val="385" w:hRule="auto"/>
        </w:trPr>
        body39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53.0 (0.6%)</w:t>
            </w:r>
          </w:p>
        </w:tc>
      </w:tr>
      <w:tr>
        <w:trPr>
          <w:trHeight w:val="385" w:hRule="auto"/>
        </w:trPr>
        body40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4,251.0 (47.5%)</w:t>
            </w:r>
          </w:p>
        </w:tc>
      </w:tr>
      <w:tr>
        <w:trPr>
          <w:trHeight w:val="383" w:hRule="auto"/>
        </w:trPr>
        body41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Urgence – Mendier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3,140.0 (35.1%)</w:t>
            </w:r>
          </w:p>
        </w:tc>
      </w:tr>
      <w:tr>
        <w:trPr>
          <w:trHeight w:val="385" w:hRule="auto"/>
        </w:trPr>
        body43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1,437.0 (16.1%)</w:t>
            </w:r>
          </w:p>
        </w:tc>
      </w:tr>
      <w:tr>
        <w:trPr>
          <w:trHeight w:val="385" w:hRule="auto"/>
        </w:trPr>
        body44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282.0 (3.2%)</w:t>
            </w:r>
          </w:p>
        </w:tc>
      </w:tr>
      <w:tr>
        <w:trPr>
          <w:trHeight w:val="385" w:hRule="auto"/>
        </w:trPr>
        body45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4,091.0 (45.7%)</w:t>
            </w:r>
          </w:p>
        </w:tc>
      </w:tr>
      <w:tr>
        <w:trPr>
          <w:trHeight w:val="383" w:hRule="auto"/>
        </w:trPr>
        body46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Urgence – Vendre dernier animal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3,138.0 (35.1%)</w:t>
            </w:r>
          </w:p>
        </w:tc>
      </w:tr>
      <w:tr>
        <w:trPr>
          <w:trHeight w:val="385" w:hRule="auto"/>
        </w:trPr>
        body48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1,379.0 (15.4%)</w:t>
            </w:r>
          </w:p>
        </w:tc>
      </w:tr>
      <w:tr>
        <w:trPr>
          <w:trHeight w:val="385" w:hRule="auto"/>
        </w:trPr>
        body49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202.0 (2.3%)</w:t>
            </w:r>
          </w:p>
        </w:tc>
      </w:tr>
      <w:tr>
        <w:trPr>
          <w:trHeight w:val="385" w:hRule="auto"/>
        </w:trPr>
        body50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4,231.0 (47.3%)</w:t>
            </w:r>
          </w:p>
        </w:tc>
      </w:tr>
      <w:tr>
        <w:trPr>
          <w:trHeight w:val="360" w:hRule="auto"/>
        </w:trPr>
        footer 1
        <w:tc>
          <w:tcPr>
            <w:gridSpan w:val="2"/>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Corpsdetexte"/>
      </w:pPr>
      <m:oMathPara>
        <m:oMathParaPr>
          <m:jc m:val="center"/>
        </m:oMathParaPr>
        <m:oMath/>
      </m:oMathPara>
    </w:p>
    <w:p>
      <w:pPr>
        <w:pStyle w:val="FirstParagraph"/>
      </w:pPr>
      <w:r>
        <w:t xml:space="preserve">L’examen des stratégies de stress révèle que la vente d’actifs non productifs et la vente supplémentaire d’animaux restent très marginales: pratiquement aucun ménage n’a dû vendre d’actifs non productifs, et seulement 4,7% ont vendu plus d’animaux que d’habitude (43,6% étant non concerné·e·s). La dépense de l’épargne a touché 4,2% des ménages, tandis que l’emprunt d’argent ou de nourriture a été plus fréquent: 19,2% des ménages y ont recours, alors que 36,4% ne l’ont pas fait et 28,9% étaient non concernés.</w:t>
      </w:r>
    </w:p>
    <w:p>
      <w:pPr>
        <w:pStyle w:val="Corpsdetexte"/>
      </w:pPr>
      <m:oMathPara>
        <m:oMathParaPr>
          <m:jc m:val="center"/>
        </m:oMathParaPr>
        <m:oMath/>
      </m:oMathPara>
    </w:p>
    <w:p>
      <w:pPr>
        <w:pStyle w:val="FirstParagraph"/>
      </w:pPr>
      <w:r>
        <w:t xml:space="preserve">En phase de crise, la réduction des dépenses non alimentaires essentielles (santé, éducation) a été adoptée par 3,4% des ménages (39,0% ne l’ayant pas fait, 40,4% non concerné·e·s). La vente d’actifs productifs est encore plus rare (1,8%), tout comme le retrait des enfants de l’école (1,2%). Ces faibles proportions suggèrent que, si le stress financier est relativement répandu, peu de ménages franchissent le seuil critique de crise.</w:t>
      </w:r>
    </w:p>
    <w:p>
      <w:pPr>
        <w:pStyle w:val="Corpsdetexte"/>
      </w:pPr>
      <m:oMathPara>
        <m:oMathParaPr>
          <m:jc m:val="center"/>
        </m:oMathParaPr>
        <m:oMath/>
      </m:oMathPara>
    </w:p>
    <w:p>
      <w:pPr>
        <w:pStyle w:val="FirstParagraph"/>
      </w:pPr>
      <w:r>
        <w:t xml:space="preserve">Quant aux stratégies d’urgence, elles restent exceptionnelles: seuls 0,6% des ménages ont vendu leur logement ou leur terrain, 3,2% ont eu recours à la mendicité et 2,3% ont vendu leur dernier animal reproducteur. Près de la moitié des ménages (47–48%) étaient non concernés par ces actions extrêmes.</w:t>
      </w:r>
    </w:p>
    <w:p>
      <w:pPr>
        <w:pStyle w:val="Corpsdetexte"/>
      </w:pPr>
      <m:oMathPara>
        <m:oMathParaPr>
          <m:jc m:val="center"/>
        </m:oMathParaPr>
        <m:oMath/>
      </m:oMathPara>
    </w:p>
    <w:p>
      <w:pPr>
        <w:pStyle w:val="FirstParagraph"/>
      </w:pPr>
      <w:r>
        <w:t xml:space="preserve">Dans l’ensemble, ces résultats confirment que la majorité des ménages tchadiens touchés par l’insécurité alimentaire se limitent à des stratégies de stress modérées (emprunter ou puiser dans leur épargne), tandis que les réponses en crise et en urgence sont beaucoup moins fréquentes</w:t>
      </w:r>
    </w:p>
    <w:p>
      <w:pPr>
        <w:pStyle w:val="Corpsdetexte"/>
      </w:pPr>
      <m:oMathPara>
        <m:oMathParaPr>
          <m:jc m:val="center"/>
        </m:oMathParaPr>
        <m:oMath/>
      </m:oMathPara>
    </w:p>
    <w:bookmarkEnd w:id="65"/>
    <w:bookmarkStart w:id="66" w:name="Xb3105157d72be2d4476a591e0f516e3b80d3644"/>
    <w:p>
      <w:pPr>
        <w:pStyle w:val="Titre4"/>
      </w:pPr>
      <w:r>
        <w:t xml:space="preserve">Proportion de menage en situation de stress, de crise et d’urgence en 2022 et 2023</w:t>
      </w:r>
    </w:p>
    <w:p>
      <w:pPr>
        <w:jc w:val="center"/>
        <w:pStyle w:val="Figure"/>
      </w:pPr>
      <w:r>
        <w:rPr/>
        <w:drawing>
          <wp:inline distT="0" distB="0" distL="0" distR="0">
            <wp:extent cx="4572000"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61"/>
                    <a:stretch>
                      <a:fillRect/>
                    </a:stretch>
                  </pic:blipFill>
                  <pic:spPr bwMode="auto">
                    <a:xfrm>
                      <a:off x="0" y="0"/>
                      <a:ext cx="63500" cy="50800"/>
                    </a:xfrm>
                    <a:prstGeom prst="rect">
                      <a:avLst/>
                    </a:prstGeom>
                    <a:noFill/>
                  </pic:spPr>
                </pic:pic>
              </a:graphicData>
            </a:graphic>
          </wp:inline>
        </w:drawing>
      </w:r>
    </w:p>
    <w:p>
      <w:pPr>
        <w:pStyle w:val="FirstParagraph"/>
      </w:pPr>
      <m:oMathPara>
        <m:oMathParaPr>
          <m:jc m:val="center"/>
        </m:oMathParaPr>
        <m:oMath/>
      </m:oMathPara>
    </w:p>
    <w:p>
      <w:pPr>
        <w:pStyle w:val="FirstParagraph"/>
      </w:pPr>
      <w:r>
        <w:t xml:space="preserve">Parmi les ménages étudiés, une large majorité (73,1 %) n’a eu recours à aucune stratégie d’adaptation extrême (« Aucun recours »), indiquant qu’ils n’ont pas éprouvé de difficultés alimentaires significatives au cours de la période considérée. En revanche, 22,3 % des ménages ont adopté des mesures de stress, telles que la vente d’actifs non essentiels ou l’emprunt de nourriture. Seuls 3,3 % sont entrés en crise, recourant à des stratégies plus dommageables (vente d’actifs productifs, réduction des dépenses essentielles) et 1,3 % ont atteint le niveau d’urgence, caractérisé par des mesures irréversibles (vente de biens majeurs ou mendicité).</w:t>
      </w:r>
    </w:p>
    <w:p>
      <w:pPr>
        <w:pStyle w:val="Corpsdetexte"/>
      </w:pPr>
      <m:oMathPara>
        <m:oMathParaPr>
          <m:jc m:val="center"/>
        </m:oMathParaPr>
        <m:oMath/>
      </m:oMathPara>
    </w:p>
    <w:bookmarkEnd w:id="66"/>
    <w:bookmarkStart w:id="67" w:name="X2cb2384acce3ce3e071a5f22a829024fc8be16e"/>
    <w:p>
      <w:pPr>
        <w:pStyle w:val="Titre4"/>
      </w:pPr>
      <w:r>
        <w:t xml:space="preserve">Representation spatiale (region et departement) des strategies d’adaptation</w:t>
      </w:r>
    </w:p>
    <w:p>
      <w:pPr>
        <w:jc w:val="center"/>
        <w:pStyle w:val="Figure"/>
      </w:pPr>
      <w:r>
        <w:rPr/>
        <w:drawing>
          <wp:inline distT="0" distB="0" distL="0" distR="0">
            <wp:extent cx="7315200" cy="54864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62"/>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15cdd0a5-ef4b-4529-967a-6b7b78a69055" w:name="spatial_LhCSI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5cdd0a5-ef4b-4529-967a-6b7b78a69055"/>
      <w:r>
        <w:rPr>
          <w:rFonts/>
          <w:b w:val="true"/>
        </w:rPr>
        <w:t xml:space="preserve">: </w:t>
      </w:r>
      <w:r>
        <w:t xml:space="preserve">Carte du LhCSI moyen et de la catégorie majoritaire par région</w:t>
      </w:r>
    </w:p>
    <w:p>
      <w:pPr>
        <w:pStyle w:val="Corpsdetexte"/>
      </w:pPr>
      <m:oMathPara>
        <m:oMathParaPr>
          <m:jc m:val="center"/>
        </m:oMathParaPr>
        <m:oMath/>
      </m:oMathPara>
    </w:p>
    <w:p>
      <w:pPr>
        <w:pStyle w:val="FirstParagraph"/>
      </w:pPr>
      <w:r>
        <w:t xml:space="preserve">Visualisons la répartition par département du LhCSI.</w:t>
      </w:r>
    </w:p>
    <w:p>
      <w:pPr>
        <w:jc w:val="center"/>
        <w:pStyle w:val="Figure"/>
      </w:pPr>
      <w:r>
        <w:rPr/>
        <w:drawing>
          <wp:inline distT="0" distB="0" distL="0" distR="0">
            <wp:extent cx="6400800" cy="45720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63"/>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d583b20f-2270-4315-99ef-4328feab3fcb" w:name="representation_spatiale_LhCSI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583b20f-2270-4315-99ef-4328feab3fcb"/>
      <w:r>
        <w:rPr>
          <w:rFonts/>
          <w:b w:val="true"/>
        </w:rPr>
        <w:t xml:space="preserve">: </w:t>
      </w:r>
      <w:r>
        <w:t xml:space="preserve">Carte du score de LhCSI par département</w:t>
      </w:r>
    </w:p>
    <w:bookmarkEnd w:id="67"/>
    <w:bookmarkEnd w:id="68"/>
    <w:bookmarkStart w:id="72" w:name="score-de-résilience-auto-évaluée-sers"/>
    <w:p>
      <w:pPr>
        <w:pStyle w:val="Titre30"/>
      </w:pPr>
      <w:r>
        <w:t xml:space="preserve">Score de résilience auto-évaluée (SERS)</w:t>
      </w:r>
    </w:p>
    <w:p>
      <w:pPr>
        <w:pStyle w:val="FirstParagraph"/>
      </w:pPr>
      <m:oMathPara>
        <m:oMathParaPr>
          <m:jc m:val="center"/>
        </m:oMathParaPr>
        <m:oMath/>
      </m:oMathPara>
    </w:p>
    <w:p>
      <w:pPr>
        <w:pStyle w:val="FirstParagraph"/>
      </w:pPr>
      <w:r>
        <w:t xml:space="preserve">Le SERS est calculé à partir de 10 sous-énoncés utilisant une échelle de Likert en cinq points (allant de « pas du tout d’accord “ à ” tout à fait d’accord ») pour saisir la perception qu’ont les ménages de leurs capacités de résilience existantes ou de leur capital de moyens de subsistance. Le score de capacité de résilience regroupe les réponses non pondérées aux 10 sous- énoncés et est normalisé pour fournir un score allant de 0 à 100.</w:t>
      </w:r>
    </w:p>
    <w:p>
      <w:pPr>
        <w:pStyle w:val="Corpsdetexte"/>
      </w:pPr>
      <m:oMathPara>
        <m:oMathParaPr>
          <m:jc m:val="center"/>
        </m:oMathParaPr>
        <m:oMath/>
      </m:oMathPara>
    </w:p>
    <w:p>
      <w:pPr>
        <w:pStyle w:val="FirstParagraph"/>
      </w:pPr>
      <w:r>
        <w:t xml:space="preserve">Le score de résilience est normalisé par la méthode minmax, transformant les résultats en un score allant de 0 (pas du tout résilient) à 100 (totalement résilient).</w:t>
      </w:r>
    </w:p>
    <w:p>
      <w:pPr>
        <w:pStyle w:val="Corpsdetexte"/>
      </w:pPr>
      <m:oMathPara>
        <m:oMathParaPr>
          <m:jc m:val="center"/>
        </m:oMathParaPr>
        <m:oMath/>
      </m:oMathPara>
    </w:p>
    <w:bookmarkStart w:id="69" w:name="X79680a702f2facf64606d8db3fe0a3d38fe6023"/>
    <w:p>
      <w:pPr>
        <w:pStyle w:val="Titre4"/>
      </w:pPr>
      <w:r>
        <w:t xml:space="preserve">Analyse descriptive des variables qui composent le SERS</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Analyse descriptive des items SERS</w:t>
            </w:r>
          </w:p>
        </w:tc>
      </w:tr>
      <w:tr>
        <w:trPr>
          <w:trHeight w:val="294" w:hRule="auto"/>
          <w:tblHeader/>
        </w:trPr>
        header 2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Sous‑énoncé</w:t>
            </w:r>
          </w:p>
        </w:tc>
        <w:tc>
          <w:tcPr>
            <w:tcBorders>
              <w:bottom w:val="single" w:sz="8" w:space="0" w:color="000000"/>
              <w:top w:val="single" w:sz="8" w:space="0" w:color="000000"/>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n (%)</w:t>
            </w:r>
            <w:r>
              <w:rPr>
                <w:rFonts w:ascii="Arial" w:hAnsi="Arial" w:eastAsia="Arial" w:cs="Arial"/>
                <w:i w:val="false"/>
                <w:b w:val="true"/>
                <w:u w:val="none"/>
                <w:vertAlign w:val="superscript"/>
                <w:sz w:val="20"/>
                <w:szCs w:val="20"/>
                <w:color w:val="000000"/>
              </w:rPr>
              <w:t xml:space="preserve">1</w:t>
            </w:r>
          </w:p>
        </w:tc>
      </w:tr>
      <w:tr>
        <w:trPr>
          <w:trHeight w:val="26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Rebondir à un choc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2,465.0 (27.5%)</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3,461.0 (38.7%)</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888.0 (9.9%)</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1,733.0 (19.4%)</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403.0 (4.5%)</w:t>
            </w:r>
          </w:p>
        </w:tc>
      </w:tr>
      <w:tr>
        <w:trPr>
          <w:trHeight w:val="29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Adapter la source de revenu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2,146.0 (24.0%)</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3,766.0 (42.1%)</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1,069.0 (11.9%)</w:t>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1,656.0 (18.5%)</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313.0 (3.5%)</w:t>
            </w:r>
          </w:p>
        </w:tc>
      </w:tr>
      <w:tr>
        <w:trPr>
          <w:trHeight w:val="2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Trouver un moyen de survie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1,810.0 (20.2%)</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3,384.0 (37.8%)</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1,346.0 (15.0%)</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2,018.0 (22.5%)</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392.0 (4.4%)</w:t>
            </w:r>
          </w:p>
        </w:tc>
      </w:tr>
      <w:tr>
        <w:trPr>
          <w:trHeight w:val="29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Accès à un appui financier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2,181.0 (24.4%)</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3,208.0 (35.8%)</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1,030.0 (11.5%)</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2,129.0 (23.8%)</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402.0 (4.5%)</w:t>
            </w:r>
          </w:p>
        </w:tc>
      </w:tr>
      <w:tr>
        <w:trPr>
          <w:trHeight w:val="2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Assurer besoins essentiels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1,518.0 (17.0%)</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3,136.0 (35.0%)</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1,428.0 (16.0%)</w:t>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2,308.0 (25.8%)</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560.0 (6.3%)</w:t>
            </w:r>
          </w:p>
        </w:tc>
      </w:tr>
      <w:tr>
        <w:trPr>
          <w:trHeight w:val="26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Soutien famille/amis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2,870.0 (32.1%)</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3,972.0 (44.4%)</w:t>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948.0 (10.6%)</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968.0 (10.8%)</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192.0 (2.1%)</w:t>
            </w:r>
          </w:p>
        </w:tc>
      </w:tr>
      <w:tr>
        <w:trPr>
          <w:trHeight w:val="29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Soutien institutions publiques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2,815.0 (31.5%)</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3,318.0 (37.1%)</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1,206.0 (13.5%)</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1,307.0 (14.6%)</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304.0 (3.4%)</w:t>
            </w:r>
          </w:p>
        </w:tc>
      </w:tr>
      <w:tr>
        <w:trPr>
          <w:trHeight w:val="29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Tirer leçons des difficultés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2,090.0 (23.4%)</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3,767.0 (42.1%)</w:t>
            </w:r>
          </w:p>
        </w:tc>
      </w:tr>
      <w:tr>
        <w:trPr>
          <w:trHeight w:val="29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1,222.0 (13.7%)</w:t>
            </w:r>
          </w:p>
        </w:tc>
      </w:tr>
      <w:tr>
        <w:trPr>
          <w:trHeight w:val="29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1,574.0 (17.6%)</w:t>
            </w:r>
          </w:p>
        </w:tc>
      </w:tr>
      <w:tr>
        <w:trPr>
          <w:trHeight w:val="294"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297.0 (3.3%)</w:t>
            </w:r>
          </w:p>
        </w:tc>
      </w:tr>
      <w:tr>
        <w:trPr>
          <w:trHeight w:val="29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Préparation à l'avenir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1,491.0 (16.8%)</w:t>
            </w:r>
          </w:p>
        </w:tc>
      </w:tr>
      <w:tr>
        <w:trPr>
          <w:trHeight w:val="294"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3,065.0 (34.4%)</w:t>
            </w:r>
          </w:p>
        </w:tc>
      </w:tr>
      <w:tr>
        <w:trPr>
          <w:trHeight w:val="29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1,489.0 (16.7%)</w:t>
            </w:r>
          </w:p>
        </w:tc>
      </w:tr>
      <w:tr>
        <w:trPr>
          <w:trHeight w:val="29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2,290.0 (25.7%)</w:t>
            </w:r>
          </w:p>
        </w:tc>
      </w:tr>
      <w:tr>
        <w:trPr>
          <w:trHeight w:val="294"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563.0 (6.3%)</w:t>
            </w:r>
          </w:p>
        </w:tc>
      </w:tr>
      <w:tr>
        <w:trPr>
          <w:trHeight w:val="29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Réception d'avertissements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1,987.0 (22.4%)</w:t>
            </w:r>
          </w:p>
        </w:tc>
      </w:tr>
      <w:tr>
        <w:trPr>
          <w:trHeight w:val="29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2,896.0 (32.6%)</w:t>
            </w:r>
          </w:p>
        </w:tc>
      </w:tr>
      <w:tr>
        <w:trPr>
          <w:trHeight w:val="294"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1,183.0 (13.3%)</w:t>
            </w:r>
          </w:p>
        </w:tc>
      </w:tr>
      <w:tr>
        <w:trPr>
          <w:trHeight w:val="29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2,190.0 (24.7%)</w:t>
            </w:r>
          </w:p>
        </w:tc>
      </w:tr>
      <w:tr>
        <w:trPr>
          <w:trHeight w:val="294" w:hRule="auto"/>
        </w:trPr>
        body60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626.0 (7.0%)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FirstParagraph"/>
      </w:pPr>
      <w:r>
        <w:t xml:space="preserve">Le profil des réponses aux dix items du SERS révèle une confiance que:</w:t>
      </w:r>
    </w:p>
    <w:p>
      <w:pPr>
        <w:numPr>
          <w:ilvl w:val="0"/>
          <w:numId w:val="1004"/>
        </w:numPr>
        <w:pStyle w:val="Compact"/>
      </w:pPr>
      <w:r>
        <w:rPr>
          <w:bCs/>
          <w:b/>
        </w:rPr>
        <w:t xml:space="preserve">Capacités de rebond et d’adaptation à un choc</w:t>
      </w:r>
      <w:r>
        <w:t xml:space="preserve"> </w:t>
      </w:r>
      <w:r>
        <w:t xml:space="preserve">: Plus de 65 % des répondants se déclarent « d’accord » ou « tout à fait d’accord » pour rebondir après un choc, et près de 66 % pour adapter leur source de revenu. Cela traduit une confiance majoritaire dans leur agilité économique.</w:t>
      </w:r>
    </w:p>
    <w:p>
      <w:pPr>
        <w:numPr>
          <w:ilvl w:val="0"/>
          <w:numId w:val="1004"/>
        </w:numPr>
        <w:pStyle w:val="Compact"/>
      </w:pPr>
      <w:r>
        <w:rPr>
          <w:bCs/>
          <w:b/>
        </w:rPr>
        <w:t xml:space="preserve">Recherche de solutions et accès au financement</w:t>
      </w:r>
      <w:r>
        <w:t xml:space="preserve"> </w:t>
      </w:r>
      <w:r>
        <w:t xml:space="preserve">: Environ 58 % estiment qu’ils trouveraient toujours un moyen de survie, tandis que 60 % pensent pouvoir obtenir un appui financier si nécessaire. Ces chiffres restent élevés mais légèrement inférieurs aux deux premiers items, suggérant des inquiétudes quant à la disponibilité effective des ressources financières.</w:t>
      </w:r>
    </w:p>
    <w:p>
      <w:pPr>
        <w:numPr>
          <w:ilvl w:val="0"/>
          <w:numId w:val="1004"/>
        </w:numPr>
        <w:pStyle w:val="Compact"/>
      </w:pPr>
      <w:r>
        <w:rPr>
          <w:bCs/>
          <w:b/>
        </w:rPr>
        <w:t xml:space="preserve">Sécurité des besoins essentiels</w:t>
      </w:r>
      <w:r>
        <w:t xml:space="preserve"> </w:t>
      </w:r>
      <w:r>
        <w:t xml:space="preserve">: Un peu plus de la moitié (52 %) des ménages affirment pouvoir assurer leurs besoins vitaux (« se nourrir et se loger »), tandis que 42 % seulement se sentent tout à fait certains de pouvoir y parvenir. Cela pointe vers une vulnérabilité persistante face aux difficultés de subsistance.</w:t>
      </w:r>
    </w:p>
    <w:p>
      <w:pPr>
        <w:numPr>
          <w:ilvl w:val="0"/>
          <w:numId w:val="1004"/>
        </w:numPr>
        <w:pStyle w:val="Compact"/>
      </w:pPr>
      <w:r>
        <w:rPr>
          <w:bCs/>
          <w:b/>
        </w:rPr>
        <w:t xml:space="preserve">Solidarité et soutien institutionnel</w:t>
      </w:r>
      <w:r>
        <w:t xml:space="preserve"> </w:t>
      </w:r>
      <w:r>
        <w:t xml:space="preserve">: Le soutien de la famille et des amis recueille le plus fort taux d’accord (76 %), contre 69 % pour le soutien des institutions publiques. La marge entre ces deux items (7 points) traduit une confiance plus marquée dans les réseaux informels que dans les dispositifs formels.</w:t>
      </w:r>
    </w:p>
    <w:p>
      <w:pPr>
        <w:numPr>
          <w:ilvl w:val="0"/>
          <w:numId w:val="1004"/>
        </w:numPr>
        <w:pStyle w:val="Compact"/>
      </w:pPr>
      <w:r>
        <w:rPr>
          <w:bCs/>
          <w:b/>
        </w:rPr>
        <w:t xml:space="preserve">Apprentissage et préparation future</w:t>
      </w:r>
      <w:r>
        <w:t xml:space="preserve"> </w:t>
      </w:r>
      <w:r>
        <w:t xml:space="preserve">: Seuls 65 % des ménages se sentent capables de tirer des leçons des crises passées, et 51 % se disent préparés à d’éventuels chocs à venir. Ces deux rubriques enregistrent les plus faibles taux d’accord, suggérant des lacunes dans la capitalisation des expériences et dans la planification proactive.</w:t>
      </w:r>
    </w:p>
    <w:p>
      <w:pPr>
        <w:numPr>
          <w:ilvl w:val="0"/>
          <w:numId w:val="1004"/>
        </w:numPr>
        <w:pStyle w:val="Compact"/>
      </w:pPr>
      <w:r>
        <w:rPr>
          <w:bCs/>
          <w:b/>
        </w:rPr>
        <w:t xml:space="preserve">Réception d’avertissements</w:t>
      </w:r>
      <w:r>
        <w:t xml:space="preserve"> </w:t>
      </w:r>
      <w:r>
        <w:t xml:space="preserve">: Enfin, 55 % déclarent recevoir des alertes préalables aux événements risqués, ce qui indique un accès partiel aux systèmes d’alerte précoce.</w:t>
      </w:r>
    </w:p>
    <w:p>
      <w:pPr>
        <w:pStyle w:val="FirstParagraph"/>
      </w:pPr>
      <w:r>
        <w:t xml:space="preserve">Dans l’ensemble, le SERS montre que la résilience perçue est surtout portée par la solidarité familiale et la capacité d’adaptation économique, tandis que les dimensions de préparation institutionnelle, d’apprentissage systématique et d’anticipation via les systèmes d’alerte restent les plus faibles.</w:t>
      </w:r>
    </w:p>
    <w:bookmarkEnd w:id="69"/>
    <w:bookmarkStart w:id="70" w:name="calcul-du-sers"/>
    <w:p>
      <w:pPr>
        <w:pStyle w:val="Titre4"/>
      </w:pPr>
      <w:r>
        <w:t xml:space="preserve">Calcul du SERS</w:t>
      </w:r>
    </w:p>
    <w:p>
      <w:pPr>
        <w:pStyle w:val="FirstParagraph"/>
      </w:pPr>
      <w:r>
        <w:t xml:space="preserve">L’indicateur</w:t>
      </w:r>
      <w:r>
        <w:t xml:space="preserve"> </w:t>
      </w:r>
      <w:r>
        <w:rPr>
          <w:bCs/>
          <w:b/>
        </w:rPr>
        <w:t xml:space="preserve">SERS</w:t>
      </w:r>
      <w:r>
        <w:t xml:space="preserve"> </w:t>
      </w:r>
      <w:r>
        <w:t xml:space="preserve">(Social-Ecological Resilience Score) a été calculé à partir de dix sous-énoncés évaluant la perception qu’ont les ménages de leur capacité de résilience ou de leur capital de moyens de subsistance. Chaque sous-énoncé utilise une</w:t>
      </w:r>
      <w:r>
        <w:t xml:space="preserve"> </w:t>
      </w:r>
      <w:r>
        <w:rPr>
          <w:bCs/>
          <w:b/>
        </w:rPr>
        <w:t xml:space="preserve">échelle en cinq points</w:t>
      </w:r>
      <w:r>
        <w:t xml:space="preserve">, allant de « pas du tout d’accord » à « tout à fait d’accord ». Les réponses ont été recodées numériquement de 1 à 5, sans pondération, puis</w:t>
      </w:r>
      <w:r>
        <w:t xml:space="preserve"> </w:t>
      </w:r>
      <w:r>
        <w:rPr>
          <w:bCs/>
          <w:b/>
        </w:rPr>
        <w:t xml:space="preserve">agrégées</w:t>
      </w:r>
      <w:r>
        <w:t xml:space="preserve"> </w:t>
      </w:r>
      <w:r>
        <w:t xml:space="preserve">en une somme simple, représentant un score brut de résilience allant de 10 à 50. Ce score a ensuite été</w:t>
      </w:r>
      <w:r>
        <w:t xml:space="preserve"> </w:t>
      </w:r>
      <w:r>
        <w:rPr>
          <w:bCs/>
          <w:b/>
        </w:rPr>
        <w:t xml:space="preserve">normalisé selon la méthode min-max</w:t>
      </w:r>
      <w:r>
        <w:t xml:space="preserve"> </w:t>
      </w:r>
      <w:r>
        <w:t xml:space="preserve">pour obtenir une valeur comprise entre</w:t>
      </w:r>
      <w:r>
        <w:t xml:space="preserve"> </w:t>
      </w:r>
      <w:r>
        <w:rPr>
          <w:bCs/>
          <w:b/>
        </w:rPr>
        <w:t xml:space="preserve">0 (pas du tout résilient)</w:t>
      </w:r>
      <w:r>
        <w:t xml:space="preserve"> </w:t>
      </w:r>
      <w:r>
        <w:t xml:space="preserve">et</w:t>
      </w:r>
      <w:r>
        <w:t xml:space="preserve"> </w:t>
      </w:r>
      <w:r>
        <w:rPr>
          <w:bCs/>
          <w:b/>
        </w:rPr>
        <w:t xml:space="preserve">100 (totalement résilient)</w:t>
      </w:r>
      <w:r>
        <w:t xml:space="preserve">, à l’aide de la formule :</w:t>
      </w:r>
    </w:p>
    <w:p>
      <w:pPr>
        <w:pStyle w:val="Corpsdetexte"/>
      </w:pPr>
      <m:oMathPara>
        <m:oMathParaPr>
          <m:jc m:val="center"/>
        </m:oMathParaPr>
        <m:oMath/>
      </m:oMathPara>
    </w:p>
    <w:p>
      <w:pPr>
        <w:pStyle w:val="FirstParagraph"/>
      </w:pPr>
      <m:oMathPara>
        <m:oMathParaPr>
          <m:jc m:val="center"/>
        </m:oMathParaPr>
        <m:oMath>
          <m:r>
            <m:t>S</m:t>
          </m:r>
          <m:r>
            <m:t>E</m:t>
          </m:r>
          <m:r>
            <m:t>R</m:t>
          </m:r>
          <m:r>
            <m:t>S</m:t>
          </m:r>
          <m:r>
            <m:rPr>
              <m:sty m:val="p"/>
            </m:rPr>
            <m:t>=</m:t>
          </m:r>
          <m:f>
            <m:fPr>
              <m:type m:val="bar"/>
            </m:fPr>
            <m:num>
              <m:d>
                <m:dPr>
                  <m:begChr m:val="("/>
                  <m:endChr m:val=")"/>
                  <m:sepChr m:val=""/>
                  <m:grow/>
                </m:dPr>
                <m:e>
                  <m:r>
                    <m:t>S</m:t>
                  </m:r>
                  <m:r>
                    <m:t>E</m:t>
                  </m:r>
                  <m:r>
                    <m:t>R</m:t>
                  </m:r>
                  <m:r>
                    <m:t>S</m:t>
                  </m:r>
                  <m:r>
                    <m:rPr>
                      <m:sty m:val="p"/>
                    </m:rPr>
                    <m:t>_</m:t>
                  </m:r>
                  <m:r>
                    <m:t>s</m:t>
                  </m:r>
                  <m:r>
                    <m:t>c</m:t>
                  </m:r>
                  <m:r>
                    <m:t>o</m:t>
                  </m:r>
                  <m:r>
                    <m:t>r</m:t>
                  </m:r>
                  <m:r>
                    <m:t>e</m:t>
                  </m:r>
                  <m:r>
                    <m:rPr>
                      <m:sty m:val="p"/>
                    </m:rPr>
                    <m:t>−</m:t>
                  </m:r>
                  <m:r>
                    <m:t>10</m:t>
                  </m:r>
                </m:e>
              </m:d>
              <m:r>
                <m:rPr>
                  <m:sty m:val="p"/>
                </m:rPr>
                <m:t>×</m:t>
              </m:r>
              <m:r>
                <m:t>100</m:t>
              </m:r>
            </m:num>
            <m:den>
              <m:r>
                <m:t>40</m:t>
              </m:r>
            </m:den>
          </m:f>
        </m:oMath>
      </m:oMathPara>
    </w:p>
    <w:p>
      <w:pPr>
        <w:pStyle w:val="FirstParagraph"/>
      </w:pPr>
      <m:oMathPara>
        <m:oMathParaPr>
          <m:jc m:val="center"/>
        </m:oMathParaPr>
        <m:oMath/>
      </m:oMathPara>
    </w:p>
    <w:p>
      <w:pPr>
        <w:pStyle w:val="FirstParagraph"/>
      </w:pPr>
      <w:r>
        <w:t xml:space="preserve">Enfin, les scores obtenus ont été divisés en</w:t>
      </w:r>
      <w:r>
        <w:t xml:space="preserve"> </w:t>
      </w:r>
      <w:r>
        <w:rPr>
          <w:bCs/>
          <w:b/>
        </w:rPr>
        <w:t xml:space="preserve">terciles</w:t>
      </w:r>
      <w:r>
        <w:t xml:space="preserve"> </w:t>
      </w:r>
      <w:r>
        <w:t xml:space="preserve">pour classifier les ménages selon trois niveaux de résilience :</w:t>
      </w:r>
      <w:r>
        <w:t xml:space="preserve"> </w:t>
      </w:r>
      <w:r>
        <w:rPr>
          <w:iCs/>
          <w:i/>
        </w:rPr>
        <w:t xml:space="preserve">faible</w:t>
      </w:r>
      <w:r>
        <w:t xml:space="preserve"> </w:t>
      </w:r>
      <w:r>
        <w:t xml:space="preserve">(SERS &lt; 33),</w:t>
      </w:r>
      <w:r>
        <w:t xml:space="preserve"> </w:t>
      </w:r>
      <w:r>
        <w:rPr>
          <w:iCs/>
          <w:i/>
        </w:rPr>
        <w:t xml:space="preserve">moyen</w:t>
      </w:r>
      <w:r>
        <w:t xml:space="preserve"> </w:t>
      </w:r>
      <w:r>
        <w:t xml:space="preserve">(33 ≤ SERS &lt; 66) et</w:t>
      </w:r>
      <w:r>
        <w:t xml:space="preserve"> </w:t>
      </w:r>
      <w:r>
        <w:rPr>
          <w:iCs/>
          <w:i/>
        </w:rPr>
        <w:t xml:space="preserve">élevé</w:t>
      </w:r>
      <w:r>
        <w:t xml:space="preserve"> </w:t>
      </w:r>
      <w:r>
        <w:t xml:space="preserve">(SERS ≥ 66), ce qui permet d’analyser la distribution du SERS au sein de la population cible.</w:t>
      </w:r>
    </w:p>
    <w:p>
      <w:pPr>
        <w:pStyle w:val="Corpsdetexte"/>
      </w:pPr>
      <m:oMathPara>
        <m:oMathParaPr>
          <m:jc m:val="center"/>
        </m:oMathParaPr>
        <m:oMath/>
      </m:oMathPara>
    </w:p>
    <w:p>
      <w:pPr>
        <w:pStyle w:val="FirstParagraph"/>
      </w:pPr>
      <w:r>
        <w:t xml:space="preserve">Nous allons visualiser les différentes catégories.</w:t>
      </w:r>
    </w:p>
    <w:p>
      <w:pPr>
        <w:jc w:val="center"/>
        <w:pStyle w:val="Figure"/>
      </w:pPr>
      <w:r>
        <w:rPr/>
        <w:drawing>
          <wp:inline distT="0" distB="0" distL="0" distR="0">
            <wp:extent cx="4572000"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64"/>
                    <a:stretch>
                      <a:fillRect/>
                    </a:stretch>
                  </pic:blipFill>
                  <pic:spPr bwMode="auto">
                    <a:xfrm>
                      <a:off x="0" y="0"/>
                      <a:ext cx="63500" cy="50800"/>
                    </a:xfrm>
                    <a:prstGeom prst="rect">
                      <a:avLst/>
                    </a:prstGeom>
                    <a:noFill/>
                  </pic:spPr>
                </pic:pic>
              </a:graphicData>
            </a:graphic>
          </wp:inline>
        </w:drawing>
      </w:r>
    </w:p>
    <w:p>
      <w:pPr>
        <w:pStyle w:val="Corpsdetexte"/>
      </w:pPr>
      <m:oMathPara>
        <m:oMathParaPr>
          <m:jc m:val="center"/>
        </m:oMathParaPr>
        <m:oMath/>
      </m:oMathPara>
    </w:p>
    <w:p>
      <w:pPr>
        <w:pStyle w:val="FirstParagraph"/>
      </w:pPr>
      <w:r>
        <w:t xml:space="preserve">L’analyse des niveaux du score de résilience auto-évaluée (SERS) révèle une capacité globale de résilience plutôt satisfaisante au sein de la population étudiée. En effet, près de la moitié des individus (49,5%) présentent un niveau de résilience élevé, indiquant qu’ils estiment pouvoir rebondir efficacement face aux chocs, adapter leurs sources de revenus ou encore mobiliser des soutiens en cas de difficulté.</w:t>
      </w:r>
    </w:p>
    <w:p>
      <w:pPr>
        <w:pStyle w:val="Corpsdetexte"/>
      </w:pPr>
      <m:oMathPara>
        <m:oMathParaPr>
          <m:jc m:val="center"/>
        </m:oMathParaPr>
        <m:oMath/>
      </m:oMathPara>
    </w:p>
    <w:p>
      <w:pPr>
        <w:pStyle w:val="FirstParagraph"/>
      </w:pPr>
      <w:r>
        <w:t xml:space="preserve">Par ailleurs, 39,9% des répondants affichent un niveau moyen de résilience, suggérant une capacité modérée à faire face aux aléas, mais avec des marges d’amélioration possibles, notamment en matière de préparation à l’avenir ou d’accès à des soutiens institutionnels.</w:t>
      </w:r>
    </w:p>
    <w:p>
      <w:pPr>
        <w:pStyle w:val="Corpsdetexte"/>
      </w:pPr>
      <m:oMathPara>
        <m:oMathParaPr>
          <m:jc m:val="center"/>
        </m:oMathParaPr>
        <m:oMath/>
      </m:oMathPara>
    </w:p>
    <w:p>
      <w:pPr>
        <w:pStyle w:val="FirstParagraph"/>
      </w:pPr>
      <w:r>
        <w:t xml:space="preserve">En revanche, une proportion non négligeable (10,6%) déclare un niveau de résilience faible, ce qui pourrait refléter une situation de vulnérabilité socioéconomique, un isolement social ou un manque de ressources pour surmonter les crises.</w:t>
      </w:r>
    </w:p>
    <w:p>
      <w:pPr>
        <w:pStyle w:val="Corpsdetexte"/>
      </w:pPr>
      <m:oMathPara>
        <m:oMathParaPr>
          <m:jc m:val="center"/>
        </m:oMathParaPr>
        <m:oMath/>
      </m:oMathPara>
    </w:p>
    <w:bookmarkEnd w:id="70"/>
    <w:bookmarkStart w:id="71" w:name="Xa5b97a1f691541fa2b124c15ea8300c501e0482"/>
    <w:p>
      <w:pPr>
        <w:pStyle w:val="Titre4"/>
      </w:pPr>
      <w:r>
        <w:t xml:space="preserve">Representation spatiale (region et departement) du SERS</w:t>
      </w:r>
    </w:p>
    <w:p>
      <w:pPr>
        <w:jc w:val="center"/>
        <w:pStyle w:val="Figure"/>
      </w:pPr>
      <w:r>
        <w:rPr/>
        <w:drawing>
          <wp:inline distT="0" distB="0" distL="0" distR="0">
            <wp:extent cx="7315200" cy="5486400"/>
            <wp:docPr id="35" name="" descr=""/>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cstate="print" r:embed="rId65"/>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432fe1d6-2ec1-4337-9da0-2d7e6dae3571" w:name="spatial_SERS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32fe1d6-2ec1-4337-9da0-2d7e6dae3571"/>
      <w:r>
        <w:rPr>
          <w:rFonts/>
          <w:b w:val="true"/>
        </w:rPr>
        <w:t xml:space="preserve">: </w:t>
      </w:r>
      <w:r>
        <w:t xml:space="preserve">Carte du SERS moyen et de la catégorie majoritaire par région</w:t>
      </w:r>
    </w:p>
    <w:p>
      <w:pPr>
        <w:pStyle w:val="Corpsdetexte"/>
      </w:pPr>
      <m:oMathPara>
        <m:oMathParaPr>
          <m:jc m:val="center"/>
        </m:oMathParaPr>
        <m:oMath/>
      </m:oMathPara>
    </w:p>
    <w:p>
      <w:pPr>
        <w:pStyle w:val="FirstParagraph"/>
      </w:pPr>
      <w:r>
        <w:t xml:space="preserve">Visualisons la répartition par département du SERS.</w:t>
      </w:r>
    </w:p>
    <w:p>
      <w:pPr>
        <w:pStyle w:val="Corpsdetexte"/>
      </w:pPr>
      <m:oMathPara>
        <m:oMathParaPr>
          <m:jc m:val="center"/>
        </m:oMathParaPr>
        <m:oMath/>
      </m:oMathPara>
    </w:p>
    <w:p>
      <w:pPr>
        <w:jc w:val="center"/>
        <w:pStyle w:val="Figure"/>
      </w:pPr>
      <w:r>
        <w:rPr/>
        <w:drawing>
          <wp:inline distT="0" distB="0" distL="0" distR="0">
            <wp:extent cx="6400800" cy="4572000"/>
            <wp:docPr id="37" name="" descr=""/>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cstate="print" r:embed="rId66"/>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8d8eef8c-be97-42ed-b440-dbafc761c49b" w:name="representation_spatiale_SERS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d8eef8c-be97-42ed-b440-dbafc761c49b"/>
      <w:r>
        <w:rPr>
          <w:rFonts/>
          <w:b w:val="true"/>
        </w:rPr>
        <w:t xml:space="preserve">: </w:t>
      </w:r>
      <w:r>
        <w:t xml:space="preserve">Carte du score de SERS par département</w:t>
      </w:r>
    </w:p>
    <w:p>
      <w:pPr>
        <w:pStyle w:val="Corpsdetexte"/>
      </w:pPr>
      <m:oMathPara>
        <m:oMathParaPr>
          <m:jc m:val="center"/>
        </m:oMathParaPr>
        <m:oMath/>
      </m:oMathPara>
    </w:p>
    <w:p>
      <w:pPr>
        <w:pStyle w:val="FirstParagraph"/>
      </w:pPr>
      <w:r>
        <w:t xml:space="preserve">Visualisons à présent la répartition suivant les différentes catégories.</w:t>
      </w:r>
    </w:p>
    <w:p>
      <w:pPr>
        <w:jc w:val="center"/>
        <w:pStyle w:val="Figure"/>
      </w:pPr>
      <w:r>
        <w:rPr/>
        <w:drawing>
          <wp:inline distT="0" distB="0" distL="0" distR="0">
            <wp:extent cx="7315200" cy="5486400"/>
            <wp:docPr id="39" name="" descr=""/>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cstate="print" r:embed="rId67"/>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9436fc93-ce1c-4730-b85f-e00be5835e47" w:name="carte_SERS_ca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436fc93-ce1c-4730-b85f-e00be5835e47"/>
      <w:r>
        <w:rPr>
          <w:rFonts/>
          <w:b w:val="true"/>
        </w:rPr>
        <w:t xml:space="preserve">: </w:t>
      </w:r>
      <w:r>
        <w:t xml:space="preserve">Carte des catégories SERS majoritaires par région</w:t>
      </w:r>
    </w:p>
    <w:bookmarkEnd w:id="71"/>
    <w:bookmarkEnd w:id="72"/>
    <w:bookmarkStart w:id="77" w:name="Xe68221218a91fcc458e7ec437554bc4960635b6"/>
    <w:p>
      <w:pPr>
        <w:pStyle w:val="Titre30"/>
      </w:pPr>
      <w:r>
        <w:t xml:space="preserve">Régime alimentaire minimum acceptable (MAD)</w:t>
      </w:r>
    </w:p>
    <w:p>
      <w:pPr>
        <w:pStyle w:val="FirstParagraph"/>
      </w:pPr>
      <m:oMathPara>
        <m:oMathParaPr>
          <m:jc m:val="center"/>
        </m:oMathParaPr>
        <m:oMath/>
      </m:oMathPara>
    </w:p>
    <w:p>
      <w:pPr>
        <w:pStyle w:val="FirstParagraph"/>
      </w:pPr>
      <w:r>
        <w:t xml:space="preserve">Le</w:t>
      </w:r>
      <w:r>
        <w:t xml:space="preserve"> </w:t>
      </w:r>
      <w:r>
        <w:rPr>
          <w:bCs/>
          <w:b/>
        </w:rPr>
        <w:t xml:space="preserve">Régime Alimentaire Minimum Acceptable (MAD)</w:t>
      </w:r>
      <w:r>
        <w:t xml:space="preserve"> </w:t>
      </w:r>
      <w:r>
        <w:t xml:space="preserve">est un</w:t>
      </w:r>
      <w:r>
        <w:t xml:space="preserve"> </w:t>
      </w:r>
      <w:r>
        <w:rPr>
          <w:bCs/>
          <w:b/>
        </w:rPr>
        <w:t xml:space="preserve">indicateur composite</w:t>
      </w:r>
      <w:r>
        <w:t xml:space="preserve"> </w:t>
      </w:r>
      <w:r>
        <w:t xml:space="preserve">permettant de mesurer si un enfant âgé de</w:t>
      </w:r>
      <w:r>
        <w:t xml:space="preserve"> </w:t>
      </w:r>
      <w:r>
        <w:rPr>
          <w:bCs/>
          <w:b/>
        </w:rPr>
        <w:t xml:space="preserve">6 à 23 mois</w:t>
      </w:r>
      <w:r>
        <w:t xml:space="preserve"> </w:t>
      </w:r>
      <w:r>
        <w:t xml:space="preserve">bénéficie d’une alimentation conforme à ses besoins nutritionnels. Il repose sur</w:t>
      </w:r>
      <w:r>
        <w:t xml:space="preserve"> </w:t>
      </w:r>
      <w:r>
        <w:rPr>
          <w:bCs/>
          <w:b/>
        </w:rPr>
        <w:t xml:space="preserve">deux dimensions essentielles</w:t>
      </w:r>
      <w:r>
        <w:t xml:space="preserve"> </w:t>
      </w:r>
      <w:r>
        <w:t xml:space="preserve">:</w:t>
      </w:r>
    </w:p>
    <w:p>
      <w:pPr>
        <w:pStyle w:val="Corpsdetexte"/>
      </w:pPr>
      <m:oMathPara>
        <m:oMathParaPr>
          <m:jc m:val="center"/>
        </m:oMathParaPr>
        <m:oMath/>
      </m:oMathPara>
    </w:p>
    <w:p>
      <w:pPr>
        <w:numPr>
          <w:ilvl w:val="0"/>
          <w:numId w:val="1005"/>
        </w:numPr>
        <w:pStyle w:val="Compact"/>
      </w:pPr>
      <w:r>
        <w:t xml:space="preserve">Diversité Alimentaire Minimale (DDM)</w:t>
      </w:r>
    </w:p>
    <w:p>
      <w:pPr>
        <w:pStyle w:val="FirstParagraph"/>
      </w:pPr>
      <w:r>
        <w:t xml:space="preserve">Un enfant atteint la DDM s’il a consommé</w:t>
      </w:r>
      <w:r>
        <w:t xml:space="preserve"> </w:t>
      </w:r>
      <w:r>
        <w:rPr>
          <w:bCs/>
          <w:b/>
        </w:rPr>
        <w:t xml:space="preserve">au moins 5 groupes d’aliments différents</w:t>
      </w:r>
      <w:r>
        <w:t xml:space="preserve"> </w:t>
      </w:r>
      <w:r>
        <w:t xml:space="preserve">parmi une liste standardisée dans les 24 dernières heures.</w:t>
      </w:r>
    </w:p>
    <w:p>
      <w:pPr>
        <w:pStyle w:val="Corpsdetexte"/>
      </w:pPr>
      <m:oMathPara>
        <m:oMathParaPr>
          <m:jc m:val="center"/>
        </m:oMathParaPr>
        <m:oMath/>
      </m:oMathPara>
    </w:p>
    <w:p>
      <w:pPr>
        <w:pStyle w:val="FirstParagraph"/>
      </w:pPr>
      <w:r>
        <w:t xml:space="preserve">Les groupes d’aliments sont déterminés à partir des réponses aux variables suivantes :</w:t>
      </w:r>
    </w:p>
    <w:p>
      <w:pPr>
        <w:numPr>
          <w:ilvl w:val="0"/>
          <w:numId w:val="1006"/>
        </w:numPr>
        <w:pStyle w:val="Compact"/>
      </w:pPr>
      <w:r>
        <w:t xml:space="preserve">Céréales et produits à base de céréales :</w:t>
      </w:r>
      <w:r>
        <w:t xml:space="preserve"> </w:t>
      </w:r>
      <w:r>
        <w:rPr>
          <w:rStyle w:val="VerbatimChar"/>
        </w:rPr>
        <w:t xml:space="preserve">PCMADStapCer</w:t>
      </w:r>
    </w:p>
    <w:p>
      <w:pPr>
        <w:numPr>
          <w:ilvl w:val="0"/>
          <w:numId w:val="1006"/>
        </w:numPr>
        <w:pStyle w:val="Compact"/>
      </w:pPr>
      <w:r>
        <w:t xml:space="preserve">Racines et tubercules :</w:t>
      </w:r>
      <w:r>
        <w:t xml:space="preserve"> </w:t>
      </w:r>
      <w:r>
        <w:rPr>
          <w:rStyle w:val="VerbatimChar"/>
        </w:rPr>
        <w:t xml:space="preserve">PCMADStapRoo</w:t>
      </w:r>
    </w:p>
    <w:p>
      <w:pPr>
        <w:numPr>
          <w:ilvl w:val="0"/>
          <w:numId w:val="1006"/>
        </w:numPr>
        <w:pStyle w:val="Compact"/>
      </w:pPr>
      <w:r>
        <w:t xml:space="preserve">Légumes oranges :</w:t>
      </w:r>
      <w:r>
        <w:t xml:space="preserve"> </w:t>
      </w:r>
      <w:r>
        <w:rPr>
          <w:rStyle w:val="VerbatimChar"/>
        </w:rPr>
        <w:t xml:space="preserve">PCMADVegOrg</w:t>
      </w:r>
    </w:p>
    <w:p>
      <w:pPr>
        <w:numPr>
          <w:ilvl w:val="0"/>
          <w:numId w:val="1006"/>
        </w:numPr>
        <w:pStyle w:val="Compact"/>
      </w:pPr>
      <w:r>
        <w:t xml:space="preserve">Légumes verts à feuilles :</w:t>
      </w:r>
      <w:r>
        <w:t xml:space="preserve"> </w:t>
      </w:r>
      <w:r>
        <w:rPr>
          <w:rStyle w:val="VerbatimChar"/>
        </w:rPr>
        <w:t xml:space="preserve">PCMADVegGre</w:t>
      </w:r>
    </w:p>
    <w:p>
      <w:pPr>
        <w:numPr>
          <w:ilvl w:val="0"/>
          <w:numId w:val="1006"/>
        </w:numPr>
        <w:pStyle w:val="Compact"/>
      </w:pPr>
      <w:r>
        <w:t xml:space="preserve">Fruits orange (ex. mangue, papaye) :</w:t>
      </w:r>
      <w:r>
        <w:t xml:space="preserve"> </w:t>
      </w:r>
      <w:r>
        <w:rPr>
          <w:rStyle w:val="VerbatimChar"/>
        </w:rPr>
        <w:t xml:space="preserve">PCMADFruitOrg</w:t>
      </w:r>
    </w:p>
    <w:p>
      <w:pPr>
        <w:numPr>
          <w:ilvl w:val="0"/>
          <w:numId w:val="1006"/>
        </w:numPr>
        <w:pStyle w:val="Compact"/>
      </w:pPr>
      <w:r>
        <w:t xml:space="preserve">Autres fruits et légumes :</w:t>
      </w:r>
      <w:r>
        <w:t xml:space="preserve"> </w:t>
      </w:r>
      <w:r>
        <w:rPr>
          <w:rStyle w:val="VerbatimChar"/>
        </w:rPr>
        <w:t xml:space="preserve">PCMADVegFruitOth</w:t>
      </w:r>
    </w:p>
    <w:p>
      <w:pPr>
        <w:numPr>
          <w:ilvl w:val="0"/>
          <w:numId w:val="1006"/>
        </w:numPr>
        <w:pStyle w:val="Compact"/>
      </w:pPr>
      <w:r>
        <w:t xml:space="preserve">Produits carnés :</w:t>
      </w:r>
      <w:r>
        <w:t xml:space="preserve"> </w:t>
      </w:r>
      <w:r>
        <w:rPr>
          <w:rStyle w:val="VerbatimChar"/>
        </w:rPr>
        <w:t xml:space="preserve">PCMADPrMeatO</w:t>
      </w:r>
      <w:r>
        <w:t xml:space="preserve">,</w:t>
      </w:r>
      <w:r>
        <w:t xml:space="preserve"> </w:t>
      </w:r>
      <w:r>
        <w:rPr>
          <w:rStyle w:val="VerbatimChar"/>
        </w:rPr>
        <w:t xml:space="preserve">PCMADPrMeatF</w:t>
      </w:r>
    </w:p>
    <w:p>
      <w:pPr>
        <w:numPr>
          <w:ilvl w:val="0"/>
          <w:numId w:val="1006"/>
        </w:numPr>
        <w:pStyle w:val="Compact"/>
      </w:pPr>
      <w:r>
        <w:t xml:space="preserve">Œufs :</w:t>
      </w:r>
      <w:r>
        <w:t xml:space="preserve"> </w:t>
      </w:r>
      <w:r>
        <w:rPr>
          <w:rStyle w:val="VerbatimChar"/>
        </w:rPr>
        <w:t xml:space="preserve">PCMADPrEgg</w:t>
      </w:r>
    </w:p>
    <w:p>
      <w:pPr>
        <w:numPr>
          <w:ilvl w:val="0"/>
          <w:numId w:val="1006"/>
        </w:numPr>
        <w:pStyle w:val="Compact"/>
      </w:pPr>
      <w:r>
        <w:t xml:space="preserve">Poisson ou fruits de mer :</w:t>
      </w:r>
      <w:r>
        <w:t xml:space="preserve"> </w:t>
      </w:r>
      <w:r>
        <w:rPr>
          <w:rStyle w:val="VerbatimChar"/>
        </w:rPr>
        <w:t xml:space="preserve">PCMADPrFish</w:t>
      </w:r>
    </w:p>
    <w:p>
      <w:pPr>
        <w:numPr>
          <w:ilvl w:val="0"/>
          <w:numId w:val="1006"/>
        </w:numPr>
        <w:pStyle w:val="Compact"/>
      </w:pPr>
      <w:r>
        <w:t xml:space="preserve">Légumineuses, noix, graines :</w:t>
      </w:r>
      <w:r>
        <w:t xml:space="preserve"> </w:t>
      </w:r>
      <w:r>
        <w:rPr>
          <w:rStyle w:val="VerbatimChar"/>
        </w:rPr>
        <w:t xml:space="preserve">PCMADPulse</w:t>
      </w:r>
    </w:p>
    <w:p>
      <w:pPr>
        <w:numPr>
          <w:ilvl w:val="0"/>
          <w:numId w:val="1006"/>
        </w:numPr>
        <w:pStyle w:val="Compact"/>
      </w:pPr>
      <w:r>
        <w:t xml:space="preserve">Produits laitiers :</w:t>
      </w:r>
      <w:r>
        <w:t xml:space="preserve"> </w:t>
      </w:r>
      <w:r>
        <w:rPr>
          <w:rStyle w:val="VerbatimChar"/>
        </w:rPr>
        <w:t xml:space="preserve">PCMADDairy</w:t>
      </w:r>
    </w:p>
    <w:p>
      <w:pPr>
        <w:pStyle w:val="FirstParagraph"/>
      </w:pPr>
      <m:oMathPara>
        <m:oMathParaPr>
          <m:jc m:val="center"/>
        </m:oMathParaPr>
        <m:oMath/>
      </m:oMathPara>
    </w:p>
    <w:p>
      <w:pPr>
        <w:numPr>
          <w:ilvl w:val="0"/>
          <w:numId w:val="1007"/>
        </w:numPr>
        <w:pStyle w:val="Compact"/>
      </w:pPr>
      <w:r>
        <w:t xml:space="preserve">Fréquence Minimale d’Alimentation</w:t>
      </w:r>
    </w:p>
    <w:p>
      <w:pPr>
        <w:pStyle w:val="FirstParagraph"/>
      </w:pPr>
      <w:r>
        <w:t xml:space="preserve">L’enfant doit également avoir été nourri le</w:t>
      </w:r>
      <w:r>
        <w:t xml:space="preserve"> </w:t>
      </w:r>
      <w:r>
        <w:rPr>
          <w:bCs/>
          <w:b/>
        </w:rPr>
        <w:t xml:space="preserve">nombre minimum de fois</w:t>
      </w:r>
      <w:r>
        <w:t xml:space="preserve"> </w:t>
      </w:r>
      <w:r>
        <w:t xml:space="preserve">recommandé, en fonction de son</w:t>
      </w:r>
      <w:r>
        <w:t xml:space="preserve"> </w:t>
      </w:r>
      <w:r>
        <w:rPr>
          <w:bCs/>
          <w:b/>
        </w:rPr>
        <w:t xml:space="preserve">âge</w:t>
      </w:r>
      <w:r>
        <w:t xml:space="preserve"> </w:t>
      </w:r>
      <w:r>
        <w:t xml:space="preserve">et de son</w:t>
      </w:r>
      <w:r>
        <w:t xml:space="preserve"> </w:t>
      </w:r>
      <w:r>
        <w:rPr>
          <w:bCs/>
          <w:b/>
        </w:rPr>
        <w:t xml:space="preserve">statut d’allaitement</w:t>
      </w:r>
      <w:r>
        <w:t xml:space="preserve">.</w:t>
      </w:r>
    </w:p>
    <w:p>
      <w:pPr>
        <w:pStyle w:val="Corpsdetexte"/>
      </w:pPr>
      <m:oMathPara>
        <m:oMathParaPr>
          <m:jc m:val="center"/>
        </m:oMathParaPr>
        <m:oMath/>
      </m:oMathPara>
    </w:p>
    <w:p>
      <w:pPr>
        <w:pStyle w:val="FirstParagraph"/>
      </w:pPr>
      <w:r>
        <w:t xml:space="preserve">Cette information est collectée via les variables :</w:t>
      </w:r>
    </w:p>
    <w:p>
      <w:pPr>
        <w:numPr>
          <w:ilvl w:val="0"/>
          <w:numId w:val="1008"/>
        </w:numPr>
        <w:pStyle w:val="Compact"/>
      </w:pPr>
      <w:r>
        <w:t xml:space="preserve">Statut d’allaitement :</w:t>
      </w:r>
      <w:r>
        <w:t xml:space="preserve"> </w:t>
      </w:r>
      <w:r>
        <w:rPr>
          <w:rStyle w:val="VerbatimChar"/>
        </w:rPr>
        <w:t xml:space="preserve">EverBreastF</w:t>
      </w:r>
      <w:r>
        <w:t xml:space="preserve">,</w:t>
      </w:r>
      <w:r>
        <w:t xml:space="preserve"> </w:t>
      </w:r>
      <w:r>
        <w:rPr>
          <w:rStyle w:val="VerbatimChar"/>
        </w:rPr>
        <w:t xml:space="preserve">PCIYCBreastF</w:t>
      </w:r>
    </w:p>
    <w:p>
      <w:pPr>
        <w:numPr>
          <w:ilvl w:val="0"/>
          <w:numId w:val="1008"/>
        </w:numPr>
        <w:pStyle w:val="Compact"/>
      </w:pPr>
      <w:r>
        <w:t xml:space="preserve">Nombre de repas solides/mous :</w:t>
      </w:r>
      <w:r>
        <w:t xml:space="preserve"> </w:t>
      </w:r>
      <w:r>
        <w:rPr>
          <w:rStyle w:val="VerbatimChar"/>
        </w:rPr>
        <w:t xml:space="preserve">PCIYCMeals</w:t>
      </w:r>
    </w:p>
    <w:p>
      <w:pPr>
        <w:numPr>
          <w:ilvl w:val="0"/>
          <w:numId w:val="1008"/>
        </w:numPr>
        <w:pStyle w:val="Compact"/>
      </w:pPr>
      <w:r>
        <w:t xml:space="preserve">Fréquence d’autres aliments spécifiques :</w:t>
      </w:r>
      <w:r>
        <w:t xml:space="preserve"> </w:t>
      </w:r>
      <w:r>
        <w:rPr>
          <w:rStyle w:val="VerbatimChar"/>
        </w:rPr>
        <w:t xml:space="preserve">PCIYCInfFormNb</w:t>
      </w:r>
      <w:r>
        <w:t xml:space="preserve">,</w:t>
      </w:r>
      <w:r>
        <w:t xml:space="preserve"> </w:t>
      </w:r>
      <w:r>
        <w:rPr>
          <w:rStyle w:val="VerbatimChar"/>
        </w:rPr>
        <w:t xml:space="preserve">PCIYCDairyMiNb</w:t>
      </w:r>
      <w:r>
        <w:t xml:space="preserve">, etc.</w:t>
      </w:r>
    </w:p>
    <w:p>
      <w:pPr>
        <w:pStyle w:val="FirstParagraph"/>
      </w:pPr>
      <w:r>
        <w:t xml:space="preserve">Un enfant est considéré comme ayant un</w:t>
      </w:r>
      <w:r>
        <w:t xml:space="preserve"> </w:t>
      </w:r>
      <w:r>
        <w:rPr>
          <w:bCs/>
          <w:b/>
        </w:rPr>
        <w:t xml:space="preserve">régime alimentaire minimum acceptable (MAD)</w:t>
      </w:r>
      <w:r>
        <w:t xml:space="preserve"> </w:t>
      </w:r>
      <w:r>
        <w:rPr>
          <w:bCs/>
          <w:b/>
        </w:rPr>
        <w:t xml:space="preserve">uniquement</w:t>
      </w:r>
      <w:r>
        <w:t xml:space="preserve"> </w:t>
      </w:r>
      <w:r>
        <w:t xml:space="preserve">s’il satisfait</w:t>
      </w:r>
      <w:r>
        <w:t xml:space="preserve"> </w:t>
      </w:r>
      <w:r>
        <w:rPr>
          <w:bCs/>
          <w:b/>
        </w:rPr>
        <w:t xml:space="preserve">à la fois</w:t>
      </w:r>
      <w:r>
        <w:t xml:space="preserve"> </w:t>
      </w:r>
      <w:r>
        <w:t xml:space="preserve">:</w:t>
      </w:r>
    </w:p>
    <w:p>
      <w:pPr>
        <w:pStyle w:val="Corpsdetexte"/>
      </w:pPr>
      <m:oMathPara>
        <m:oMathParaPr>
          <m:jc m:val="center"/>
        </m:oMathParaPr>
        <m:oMath/>
      </m:oMathPara>
    </w:p>
    <w:p>
      <w:pPr>
        <w:numPr>
          <w:ilvl w:val="0"/>
          <w:numId w:val="1009"/>
        </w:numPr>
        <w:pStyle w:val="Compact"/>
      </w:pPr>
      <w:r>
        <w:t xml:space="preserve">La</w:t>
      </w:r>
      <w:r>
        <w:t xml:space="preserve"> </w:t>
      </w:r>
      <w:r>
        <w:rPr>
          <w:bCs/>
          <w:b/>
        </w:rPr>
        <w:t xml:space="preserve">diversité alimentaire minimale (DDM)</w:t>
      </w:r>
      <w:r>
        <w:t xml:space="preserve">, et</w:t>
      </w:r>
      <w:r>
        <w:br/>
      </w:r>
    </w:p>
    <w:p>
      <w:pPr>
        <w:numPr>
          <w:ilvl w:val="0"/>
          <w:numId w:val="1009"/>
        </w:numPr>
        <w:pStyle w:val="Compact"/>
      </w:pPr>
      <w:r>
        <w:t xml:space="preserve">La</w:t>
      </w:r>
      <w:r>
        <w:t xml:space="preserve"> </w:t>
      </w:r>
      <w:r>
        <w:rPr>
          <w:bCs/>
          <w:b/>
        </w:rPr>
        <w:t xml:space="preserve">fréquence minimale d’alimentation</w:t>
      </w:r>
      <w:r>
        <w:t xml:space="preserve">.</w:t>
      </w:r>
    </w:p>
    <w:p>
      <w:pPr>
        <w:pStyle w:val="FirstParagraph"/>
      </w:pPr>
      <m:oMathPara>
        <m:oMathParaPr>
          <m:jc m:val="center"/>
        </m:oMathParaPr>
        <m:oMath/>
      </m:oMathPara>
    </w:p>
    <w:bookmarkStart w:id="73" w:name="X3086290e92e1359aa71d7b1e8e6cae3797402b8"/>
    <w:p>
      <w:pPr>
        <w:pStyle w:val="Titre4"/>
      </w:pPr>
      <w:r>
        <w:t xml:space="preserve">Création de la variable nombre de groupes d’aliments consommés</w:t>
      </w:r>
    </w:p>
    <w:p>
      <w:pPr>
        <w:pStyle w:val="FirstParagraph"/>
      </w:pPr>
      <w:r>
        <w:t xml:space="preserve">On somme les indicateurs binaires de consommation de chaque groupe</w:t>
      </w:r>
    </w:p>
    <w:p>
      <w:pPr>
        <w:pStyle w:val="Corpsdetexte"/>
      </w:pPr>
      <m:oMathPara>
        <m:oMathParaPr>
          <m:jc m:val="center"/>
        </m:oMathParaPr>
        <m:oMath/>
      </m:oMathPara>
    </w:p>
    <w:p>
      <w:pPr>
        <w:pStyle w:val="FirstParagraph"/>
      </w:pPr>
      <w:r>
        <w:t xml:space="preserve">Voici un aperçu de la variable crée :</w:t>
      </w:r>
    </w:p>
    <w:p>
      <w:pPr>
        <w:jc w:val="center"/>
        <w:pStyle w:val="Figure"/>
      </w:pPr>
      <w:r>
        <w:rPr/>
        <w:drawing>
          <wp:inline distT="0" distB="0" distL="0" distR="0">
            <wp:extent cx="4572000" cy="3657600"/>
            <wp:docPr id="41" name="" descr=""/>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cstate="print" r:embed="rId68"/>
                    <a:stretch>
                      <a:fillRect/>
                    </a:stretch>
                  </pic:blipFill>
                  <pic:spPr bwMode="auto">
                    <a:xfrm>
                      <a:off x="0" y="0"/>
                      <a:ext cx="63500" cy="50800"/>
                    </a:xfrm>
                    <a:prstGeom prst="rect">
                      <a:avLst/>
                    </a:prstGeom>
                    <a:noFill/>
                  </pic:spPr>
                </pic:pic>
              </a:graphicData>
            </a:graphic>
          </wp:inline>
        </w:drawing>
      </w:r>
    </w:p>
    <w:bookmarkEnd w:id="73"/>
    <w:bookmarkStart w:id="74" w:name="création-de-la-variable-ddm"/>
    <w:p>
      <w:pPr>
        <w:pStyle w:val="Titre4"/>
      </w:pPr>
      <w:r>
        <w:t xml:space="preserve">Création de la variable DDM</w:t>
      </w:r>
    </w:p>
    <w:p>
      <w:pPr>
        <w:pStyle w:val="FirstParagraph"/>
      </w:pPr>
      <w:r>
        <w:t xml:space="preserve">Cette variable indique si l’enfant a consommé au moins cinq groupes d’aliments.</w:t>
      </w:r>
    </w:p>
    <w:p>
      <w:pPr>
        <w:pStyle w:val="Corpsdetexte"/>
      </w:pPr>
      <m:oMathPara>
        <m:oMathParaPr>
          <m:jc m:val="center"/>
        </m:oMathParaPr>
        <m:oMath/>
      </m:oMathPara>
    </w:p>
    <w:p>
      <w:pPr>
        <w:pStyle w:val="FirstParagraph"/>
      </w:pPr>
      <w:r>
        <w:t xml:space="preserve">Voici un aperçu de la variable crée :</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1. Distribution de la diversité diététique minimale (DDM)</w:t>
      </w:r>
    </w:p>
    <w:tbl xmlns:w14="http://schemas.microsoft.com/office/word/2010/wordml">
      <w:tblPr>
        <w:tblLayout w:type="fixed"/>
        <w:jc w:val="center"/>
        <w:tblLook w:firstRow="1" w:lastRow="0" w:firstColumn="0" w:lastColumn="0" w:noHBand="0" w:noVBand="1"/>
      </w:tblPr>
      <w:tblGrid>
        <w:gridCol w:w="3467"/>
        <w:gridCol w:w="1156"/>
        <w:gridCol w:w="1743"/>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Diversité Diététique Minimale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Pourcentage</w:t>
            </w:r>
          </w:p>
        </w:tc>
      </w:tr>
      <w:tr>
        <w:trPr>
          <w:trHeight w:val="61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DDM acceptable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24.3</w:t>
            </w:r>
          </w:p>
        </w:tc>
      </w:tr>
      <w:tr>
        <w:trPr>
          <w:trHeight w:val="612"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DDM non 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75.7</w:t>
            </w:r>
          </w:p>
        </w:tc>
      </w:tr>
    </w:tbl>
    <w:p>
      <w:pPr>
        <w:pStyle w:val="Corpsdetexte"/>
      </w:pPr>
      <m:oMathPara>
        <m:oMathParaPr>
          <m:jc m:val="center"/>
        </m:oMathParaPr>
        <m:oMath/>
      </m:oMathPara>
    </w:p>
    <w:p>
      <w:pPr>
        <w:pStyle w:val="FirstParagraph"/>
      </w:pPr>
      <m:oMathPara>
        <m:oMathParaPr>
          <m:jc m:val="center"/>
        </m:oMathParaPr>
        <m:oMath/>
      </m:oMathPara>
    </w:p>
    <w:bookmarkEnd w:id="74"/>
    <w:bookmarkStart w:id="75" w:name="Xaec1827d775cb12eafde03d4c6e6de216a1bb80"/>
    <w:p>
      <w:pPr>
        <w:pStyle w:val="Titre4"/>
      </w:pPr>
      <w:r>
        <w:t xml:space="preserve">Proportion d’enfants bénéficiant d’un régime alimentaire minimum acceptable</w:t>
      </w:r>
    </w:p>
    <w:p>
      <w:pPr>
        <w:pStyle w:val="FirstParagraph"/>
      </w:pPr>
      <w:r>
        <w:t xml:space="preserve">Comme mentionné, le MAD (Minimum Acceptable Diet) est atteint seulement si l’enfant satisfait à la fois :</w:t>
      </w:r>
      <w:r>
        <w:t xml:space="preserve"> </w:t>
      </w:r>
      <w:r>
        <w:t xml:space="preserve">- la diversité diététique minimale (DDM) (au moins 5 groupes d’aliments), et</w:t>
      </w:r>
      <w:r>
        <w:t xml:space="preserve"> </w:t>
      </w:r>
      <w:r>
        <w:t xml:space="preserve">- la fréquence minimale d’alimentation, selon son âge et son statut d’allaitement.</w:t>
      </w:r>
    </w:p>
    <w:p>
      <w:pPr>
        <w:pStyle w:val="Corpsdetexte"/>
      </w:pPr>
      <m:oMathPara>
        <m:oMathParaPr>
          <m:jc m:val="center"/>
        </m:oMathParaPr>
        <m:oMath/>
      </m:oMathPara>
    </w:p>
    <w:p>
      <w:pPr>
        <w:pStyle w:val="FirstParagraph"/>
      </w:pPr>
      <w:r>
        <w:t xml:space="preserve">Pour calculer le</w:t>
      </w:r>
      <w:r>
        <w:t xml:space="preserve"> </w:t>
      </w:r>
      <w:r>
        <w:rPr>
          <w:bCs/>
          <w:b/>
        </w:rPr>
        <w:t xml:space="preserve">Régime Alimentaire Minimum Acceptable (MAD)</w:t>
      </w:r>
      <w:r>
        <w:t xml:space="preserve"> </w:t>
      </w:r>
      <w:r>
        <w:t xml:space="preserve">d’un enfant de 6–23 mois, les dernières directives</w:t>
      </w:r>
      <w:r>
        <w:t xml:space="preserve"> </w:t>
      </w:r>
      <w:r>
        <w:rPr>
          <w:bCs/>
          <w:b/>
        </w:rPr>
        <w:t xml:space="preserve">WHO/UNICEF (2021)</w:t>
      </w:r>
      <w:r>
        <w:t xml:space="preserve"> </w:t>
      </w:r>
      <w:r>
        <w:t xml:space="preserve">spécifient trois sous‐indicateurs :</w:t>
      </w:r>
    </w:p>
    <w:p>
      <w:pPr>
        <w:pStyle w:val="Corpsdetexte"/>
      </w:pPr>
      <m:oMathPara>
        <m:oMathParaPr>
          <m:jc m:val="center"/>
        </m:oMathParaPr>
        <m:oMath/>
      </m:oMathPara>
    </w:p>
    <w:tbl>
      <w:tblPr>
        <w:tblStyle w:val="Table"/>
        <w:tblW w:type="pct" w:w="5000"/>
        <w:tblLook w:firstRow="1" w:lastRow="0" w:firstColumn="0" w:lastColumn="0" w:noHBand="0" w:noVBand="0" w:val="0020"/>
        <w:jc w:val="start"/>
      </w:tblPr>
      <w:tblGrid>
        <w:gridCol w:w="3529"/>
        <w:gridCol w:w="4390"/>
      </w:tblGrid>
      <w:tr>
        <w:trPr>
          <w:tblHeader w:val="true"/>
        </w:trPr>
        <w:tc>
          <w:tcPr/>
          <w:p>
            <w:pPr>
              <w:pStyle w:val="Compact"/>
              <w:jc w:val="left"/>
            </w:pPr>
            <w:r>
              <w:t xml:space="preserve">Sous-indicateur</w:t>
            </w:r>
          </w:p>
        </w:tc>
        <w:tc>
          <w:tcPr/>
          <w:p>
            <w:pPr>
              <w:pStyle w:val="Compact"/>
              <w:jc w:val="left"/>
            </w:pPr>
            <w:r>
              <w:t xml:space="preserve">Critère</w:t>
            </w:r>
          </w:p>
        </w:tc>
      </w:tr>
      <w:tr>
        <w:tc>
          <w:tcPr/>
          <w:p>
            <w:pPr>
              <w:pStyle w:val="Compact"/>
              <w:jc w:val="left"/>
            </w:pPr>
            <w:r>
              <w:rPr>
                <w:bCs/>
                <w:b/>
              </w:rPr>
              <w:t xml:space="preserve">Minimum Dietary Diversity (MDD)</w:t>
            </w:r>
          </w:p>
        </w:tc>
        <w:tc>
          <w:tcPr/>
          <w:p>
            <w:pPr>
              <w:pStyle w:val="Compact"/>
              <w:jc w:val="left"/>
            </w:pPr>
            <w:r>
              <w:t xml:space="preserve">≥ 5 groupes d’aliments sur 8</w:t>
            </w:r>
          </w:p>
        </w:tc>
      </w:tr>
      <w:tr>
        <w:tc>
          <w:tcPr/>
          <w:p>
            <w:pPr>
              <w:pStyle w:val="Compact"/>
              <w:jc w:val="left"/>
            </w:pPr>
            <w:r>
              <w:rPr>
                <w:bCs/>
                <w:b/>
              </w:rPr>
              <w:t xml:space="preserve">Minimum Meal Frequency (MMF)</w:t>
            </w:r>
          </w:p>
        </w:tc>
        <w:tc>
          <w:tcPr/>
          <w:p>
            <w:pPr>
              <w:pStyle w:val="Compact"/>
              <w:jc w:val="left"/>
            </w:pPr>
            <w:r>
              <w:t xml:space="preserve">Nombre minimal de repas solides/semi-solides</w:t>
            </w:r>
          </w:p>
        </w:tc>
      </w:tr>
      <w:tr>
        <w:tc>
          <w:tcPr/>
          <w:p>
            <w:pPr>
              <w:pStyle w:val="Compact"/>
              <w:jc w:val="left"/>
            </w:pPr>
            <w:r>
              <w:rPr>
                <w:bCs/>
                <w:b/>
              </w:rPr>
              <w:t xml:space="preserve">Minimum Milk Feeding Frequency (MMFF)</w:t>
            </w:r>
          </w:p>
        </w:tc>
        <w:tc>
          <w:tcPr/>
          <w:p>
            <w:pPr>
              <w:pStyle w:val="Compact"/>
              <w:jc w:val="left"/>
            </w:pPr>
            <w:r>
              <w:t xml:space="preserve">Pour non-allaités, ≥ 2 prises laitières</w:t>
            </w:r>
          </w:p>
        </w:tc>
      </w:tr>
    </w:tbl>
    <w:p>
      <w:pPr>
        <w:pStyle w:val="Corpsdetexte"/>
      </w:pPr>
      <m:oMathPara>
        <m:oMathParaPr>
          <m:jc m:val="center"/>
        </m:oMathParaPr>
        <m:oMath/>
      </m:oMathPara>
    </w:p>
    <w:p>
      <w:pPr>
        <w:pStyle w:val="FirstParagraph"/>
      </w:pPr>
      <w:r>
        <w:t xml:space="preserve">Les seuils exacts de</w:t>
      </w:r>
      <w:r>
        <w:t xml:space="preserve"> </w:t>
      </w:r>
      <w:r>
        <w:rPr>
          <w:bCs/>
          <w:b/>
        </w:rPr>
        <w:t xml:space="preserve">MMF</w:t>
      </w:r>
      <w:r>
        <w:t xml:space="preserve"> </w:t>
      </w:r>
      <w:r>
        <w:t xml:space="preserve">et</w:t>
      </w:r>
      <w:r>
        <w:t xml:space="preserve"> </w:t>
      </w:r>
      <w:r>
        <w:rPr>
          <w:bCs/>
          <w:b/>
        </w:rPr>
        <w:t xml:space="preserve">MMFF</w:t>
      </w:r>
      <w:r>
        <w:t xml:space="preserve"> </w:t>
      </w:r>
      <w:r>
        <w:t xml:space="preserve">sont :</w:t>
      </w:r>
    </w:p>
    <w:p>
      <w:pPr>
        <w:pStyle w:val="Corpsdetexte"/>
      </w:pPr>
      <m:oMathPara>
        <m:oMathParaPr>
          <m:jc m:val="center"/>
        </m:oMathParaPr>
        <m:oMath/>
      </m:oMathPara>
    </w:p>
    <w:tbl>
      <w:tblPr>
        <w:tblStyle w:val="Table"/>
        <w:tblW w:type="pct" w:w="5000"/>
        <w:tblLook w:firstRow="1" w:lastRow="0" w:firstColumn="0" w:lastColumn="0" w:noHBand="0" w:noVBand="0" w:val="0020"/>
        <w:jc w:val="start"/>
      </w:tblPr>
      <w:tblGrid>
        <w:gridCol w:w="2151"/>
        <w:gridCol w:w="1173"/>
        <w:gridCol w:w="2053"/>
        <w:gridCol w:w="2542"/>
      </w:tblGrid>
      <w:tr>
        <w:trPr>
          <w:tblHeader w:val="true"/>
        </w:trPr>
        <w:tc>
          <w:tcPr/>
          <w:p>
            <w:pPr>
              <w:pStyle w:val="Compact"/>
              <w:jc w:val="left"/>
            </w:pPr>
            <w:r>
              <w:t xml:space="preserve">Statut d’allaitement</w:t>
            </w:r>
          </w:p>
        </w:tc>
        <w:tc>
          <w:tcPr/>
          <w:p>
            <w:pPr>
              <w:pStyle w:val="Compact"/>
              <w:jc w:val="left"/>
            </w:pPr>
            <w:r>
              <w:t xml:space="preserve">Âge (mois)</w:t>
            </w:r>
          </w:p>
        </w:tc>
        <w:tc>
          <w:tcPr/>
          <w:p>
            <w:pPr>
              <w:pStyle w:val="Compact"/>
              <w:jc w:val="left"/>
            </w:pPr>
            <w:r>
              <w:t xml:space="preserve">MMF (repas solides)</w:t>
            </w:r>
          </w:p>
        </w:tc>
        <w:tc>
          <w:tcPr/>
          <w:p>
            <w:pPr>
              <w:pStyle w:val="Compact"/>
              <w:jc w:val="left"/>
            </w:pPr>
            <w:r>
              <w:t xml:space="preserve">MMFF (prises laitières)</w:t>
            </w:r>
          </w:p>
        </w:tc>
      </w:tr>
      <w:tr>
        <w:tc>
          <w:tcPr/>
          <w:p>
            <w:pPr>
              <w:pStyle w:val="Compact"/>
              <w:jc w:val="left"/>
            </w:pPr>
            <w:r>
              <w:t xml:space="preserve">Allaité</w:t>
            </w:r>
          </w:p>
        </w:tc>
        <w:tc>
          <w:tcPr/>
          <w:p>
            <w:pPr>
              <w:pStyle w:val="Compact"/>
              <w:jc w:val="left"/>
            </w:pPr>
            <w:r>
              <w:t xml:space="preserve">6–8</w:t>
            </w:r>
          </w:p>
        </w:tc>
        <w:tc>
          <w:tcPr/>
          <w:p>
            <w:pPr>
              <w:pStyle w:val="Compact"/>
              <w:jc w:val="left"/>
            </w:pPr>
            <w:r>
              <w:t xml:space="preserve">≥ 2</w:t>
            </w:r>
          </w:p>
        </w:tc>
        <w:tc>
          <w:tcPr/>
          <w:p>
            <w:pPr>
              <w:pStyle w:val="Compact"/>
              <w:jc w:val="left"/>
            </w:pPr>
            <w:r>
              <w:t xml:space="preserve">–</w:t>
            </w:r>
          </w:p>
        </w:tc>
      </w:tr>
      <w:tr>
        <w:tc>
          <w:tcPr/>
          <w:p>
            <w:pPr>
              <w:pStyle w:val="Compact"/>
              <w:jc w:val="left"/>
            </w:pPr>
            <w:r>
              <w:t xml:space="preserve">Allaité</w:t>
            </w:r>
          </w:p>
        </w:tc>
        <w:tc>
          <w:tcPr/>
          <w:p>
            <w:pPr>
              <w:pStyle w:val="Compact"/>
              <w:jc w:val="left"/>
            </w:pPr>
            <w:r>
              <w:t xml:space="preserve">9–23</w:t>
            </w:r>
          </w:p>
        </w:tc>
        <w:tc>
          <w:tcPr/>
          <w:p>
            <w:pPr>
              <w:pStyle w:val="Compact"/>
              <w:jc w:val="left"/>
            </w:pPr>
            <w:r>
              <w:t xml:space="preserve">≥ 3</w:t>
            </w:r>
          </w:p>
        </w:tc>
        <w:tc>
          <w:tcPr/>
          <w:p>
            <w:pPr>
              <w:pStyle w:val="Compact"/>
              <w:jc w:val="left"/>
            </w:pPr>
            <w:r>
              <w:t xml:space="preserve">–</w:t>
            </w:r>
          </w:p>
        </w:tc>
      </w:tr>
      <w:tr>
        <w:tc>
          <w:tcPr/>
          <w:p>
            <w:pPr>
              <w:pStyle w:val="Compact"/>
              <w:jc w:val="left"/>
            </w:pPr>
            <w:r>
              <w:t xml:space="preserve">Non-allaité</w:t>
            </w:r>
          </w:p>
        </w:tc>
        <w:tc>
          <w:tcPr/>
          <w:p>
            <w:pPr>
              <w:pStyle w:val="Compact"/>
              <w:jc w:val="left"/>
            </w:pPr>
            <w:r>
              <w:t xml:space="preserve">6–23</w:t>
            </w:r>
          </w:p>
        </w:tc>
        <w:tc>
          <w:tcPr/>
          <w:p>
            <w:pPr>
              <w:pStyle w:val="Compact"/>
              <w:jc w:val="left"/>
            </w:pPr>
            <w:r>
              <w:t xml:space="preserve">≥ 4</w:t>
            </w:r>
          </w:p>
        </w:tc>
        <w:tc>
          <w:tcPr/>
          <w:p>
            <w:pPr>
              <w:pStyle w:val="Compact"/>
              <w:jc w:val="left"/>
            </w:pPr>
            <w:r>
              <w:t xml:space="preserve">≥ 2</w:t>
            </w:r>
          </w:p>
        </w:tc>
      </w:tr>
    </w:tbl>
    <w:p>
      <w:pPr>
        <w:pStyle w:val="Corpsdetexte"/>
      </w:pPr>
      <m:oMathPara>
        <m:oMathParaPr>
          <m:jc m:val="center"/>
        </m:oMathParaPr>
        <m:oMath/>
      </m:oMathPara>
    </w:p>
    <w:p>
      <w:pPr>
        <w:pStyle w:val="FirstParagraph"/>
      </w:pPr>
      <w:r>
        <w:rPr>
          <w:bCs/>
          <w:b/>
        </w:rPr>
        <w:t xml:space="preserve">Sources :</w:t>
      </w:r>
      <w:r>
        <w:br/>
      </w:r>
      <w:r>
        <w:t xml:space="preserve">- UNICEF/WHO</w:t>
      </w:r>
      <w:r>
        <w:t xml:space="preserve"> </w:t>
      </w:r>
      <w:r>
        <w:rPr>
          <w:bCs/>
          <w:b/>
        </w:rPr>
        <w:t xml:space="preserve">Indicators for Assessing Infant and Young Child Feeding Practices</w:t>
      </w:r>
      <w:r>
        <w:t xml:space="preserve"> </w:t>
      </w:r>
      <w:r>
        <w:t xml:space="preserve">(2021)</w:t>
      </w:r>
    </w:p>
    <w:p>
      <w:pPr>
        <w:pStyle w:val="Corpsdetexte"/>
      </w:pPr>
      <m:oMathPara>
        <m:oMathParaPr>
          <m:jc m:val="center"/>
        </m:oMathParaPr>
        <m:oMath/>
      </m:oMathPara>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Proportion d’enfants 6–23 mois avec un MAD acceptable</w:t>
      </w:r>
    </w:p>
    <w:tbl xmlns:w14="http://schemas.microsoft.com/office/word/2010/wordml">
      <w:tblPr>
        <w:tblLayout w:type="fixed"/>
        <w:jc w:val="center"/>
        <w:tblLook w:firstRow="1" w:lastRow="0" w:firstColumn="0" w:lastColumn="0" w:noHBand="0" w:noVBand="1"/>
      </w:tblPr>
      <w:tblGrid>
        <w:gridCol w:w="4666"/>
        <w:gridCol w:w="1156"/>
        <w:gridCol w:w="1743"/>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Régime alimentaire minimum acceptable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Pourcentage</w:t>
            </w:r>
          </w:p>
        </w:tc>
      </w:tr>
      <w:tr>
        <w:trPr>
          <w:trHeight w:val="61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acceptable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10.3</w:t>
            </w:r>
          </w:p>
        </w:tc>
      </w:tr>
      <w:tr>
        <w:trPr>
          <w:trHeight w:val="612"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non 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89.7</w:t>
            </w:r>
          </w:p>
        </w:tc>
      </w:tr>
    </w:tbl>
    <w:p>
      <w:pPr>
        <w:pStyle w:val="FirstParagraph"/>
      </w:pPr>
      <m:oMathPara>
        <m:oMathParaPr>
          <m:jc m:val="center"/>
        </m:oMathParaPr>
        <m:oMath/>
      </m:oMathPara>
    </w:p>
    <w:p>
      <w:pPr>
        <w:pStyle w:val="FirstParagraph"/>
      </w:pPr>
      <m:oMathPara>
        <m:oMathParaPr>
          <m:jc m:val="center"/>
        </m:oMathParaPr>
        <m:oMath/>
      </m:oMathPara>
    </w:p>
    <w:bookmarkEnd w:id="75"/>
    <w:bookmarkStart w:id="76" w:name="statistiques-descriptives"/>
    <w:p>
      <w:pPr>
        <w:pStyle w:val="Titre4"/>
      </w:pPr>
      <w:r>
        <w:t xml:space="preserve">Statistiques descriptives</w:t>
      </w:r>
    </w:p>
    <w:p>
      <w:pPr>
        <w:pStyle w:val="FirstParagraph"/>
      </w:pPr>
      <m:oMathPara>
        <m:oMathParaPr>
          <m:jc m:val="center"/>
        </m:oMathParaPr>
        <m:oMath/>
      </m:oMathPara>
    </w:p>
    <w:p>
      <w:pPr>
        <w:numPr>
          <w:ilvl w:val="0"/>
          <w:numId w:val="1010"/>
        </w:numPr>
        <w:pStyle w:val="Compact"/>
      </w:pPr>
      <w:r>
        <w:rPr>
          <w:bCs/>
          <w:b/>
        </w:rPr>
        <w:t xml:space="preserve">Statistiques suivant le sexe du chef de ménage</w:t>
      </w:r>
    </w:p>
    <w:p>
      <w:pPr>
        <w:pStyle w:val="FirstParagraph"/>
      </w:pPr>
      <m:oMathPara>
        <m:oMathParaPr>
          <m:jc m:val="center"/>
        </m:oMathParaPr>
        <m:oMath/>
      </m:oMathPara>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MAD selon le sexe du chef de ménage</w:t>
      </w:r>
    </w:p>
    <w:tbl xmlns:w14="http://schemas.microsoft.com/office/word/2010/wordml">
      <w:tblPr>
        <w:tblLayout w:type="autofit"/>
        <w:jc w:val="center"/>
        <w:tblW w:type="pct" w:w="500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MAD</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Femme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Homme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NA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acceptable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83 (10.8%)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125 (11.9%)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 (4.9%)</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non acceptable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682 (89.2%)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925 (88.1%)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370 (95.1%)</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765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1050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389 (100%)</w:t>
            </w:r>
          </w:p>
        </w:tc>
      </w:tr>
    </w:tbl>
    <w:p>
      <w:pPr>
        <w:pStyle w:val="FirstParagraph"/>
      </w:pPr>
      <m:oMathPara>
        <m:oMathParaPr>
          <m:jc m:val="center"/>
        </m:oMathParaPr>
        <m:oMath/>
      </m:oMathPara>
    </w:p>
    <w:p>
      <w:pPr>
        <w:pStyle w:val="FirstParagraph"/>
      </w:pPr>
      <w:r>
        <w:t xml:space="preserve">Les enfants dont le chef de ménage est de sexe masculin présentent un taux légèrement plus élevé de MAD acceptable (11,9 %, soit 125/1 050) comparé à ceux dont la cheffe de ménage est une femme (10,8 %, soit 83/765). À l’inverse, la part des enfants sans MAD acceptable est marginalement plus importante lorsque le chef est une femme (89,2 % contre 88,1 % pour les hommes). En somme, les différences de couverture MAD entre chefs masculins et féminins sont minimes, suggérant que le sexe du chef de ménage n’influence que légèrement l’accès des enfants à un régime alimentaire minimum acceptable.</w:t>
      </w:r>
    </w:p>
    <w:p>
      <w:pPr>
        <w:pStyle w:val="Corpsdetexte"/>
      </w:pPr>
      <m:oMathPara>
        <m:oMathParaPr>
          <m:jc m:val="center"/>
        </m:oMathParaPr>
        <m:oMath/>
      </m:oMathPara>
    </w:p>
    <w:p>
      <w:pPr>
        <w:numPr>
          <w:ilvl w:val="0"/>
          <w:numId w:val="1011"/>
        </w:numPr>
        <w:pStyle w:val="Compact"/>
      </w:pPr>
      <w:r>
        <w:rPr>
          <w:bCs/>
          <w:b/>
        </w:rPr>
        <w:t xml:space="preserve">Statistiques suivant l’année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MAD selon l'année</w:t>
      </w:r>
    </w:p>
    <w:tbl xmlns:w14="http://schemas.microsoft.com/office/word/2010/wordml">
      <w:tblPr>
        <w:tblLayout w:type="autofit"/>
        <w:jc w:val="center"/>
        <w:tblW w:type="pct" w:w="500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MAD</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2022</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2023</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NA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acceptable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61 (7.5%)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147 (14.7%)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 (4.9%)</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non acceptable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755 (92.5%)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852 (85.3%)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370 (95.1%)</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816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999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389 (100%)</w:t>
            </w:r>
          </w:p>
        </w:tc>
      </w:tr>
    </w:tbl>
    <w:p>
      <w:pPr>
        <w:pStyle w:val="FirstParagraph"/>
      </w:pPr>
      <m:oMathPara>
        <m:oMathParaPr>
          <m:jc m:val="center"/>
        </m:oMathParaPr>
        <m:oMath/>
      </m:oMathPara>
    </w:p>
    <w:p>
      <w:pPr>
        <w:pStyle w:val="FirstParagraph"/>
      </w:pPr>
      <w:r>
        <w:t xml:space="preserve">Entre 2022 et 2023, la proportion d’enfants de 6–23 mois bénéficiant d’un MAD acceptable a presque doublé, passant de 7,5 % (61/816) en 2022 à 14,7 % (147/999) en 2023, tandis que la part des enfants sans MAD acceptable a diminué de 92,5 % à 85,3 %. Parmi les 389 observations manquantes de la variable renseignant sur l’année, seulement 4,9 % remplissaient les critères du MAD acceptable. Cette progression indique une amélioration de la qualité de l’alimentation infantile, bien que la majorité des enfants reste encore en deçà des recommandations.</w:t>
      </w:r>
    </w:p>
    <w:p>
      <w:r>
        <w:br w:type="page"/>
      </w:r>
    </w:p>
    <w:p>
      <w:pPr>
        <w:pStyle w:val="Corpsdetexte"/>
      </w:pPr>
      <m:oMathPara>
        <m:oMathParaPr>
          <m:jc m:val="center"/>
        </m:oMathParaPr>
        <m:oMath/>
      </m:oMathPara>
    </w:p>
    <w:bookmarkEnd w:id="76"/>
    <w:bookmarkEnd w:id="77"/>
    <w:bookmarkEnd w:id="78"/>
    <w:bookmarkStart w:id="79" w:name="X045e30200371d8f09bd06636283c3f1bb229453"/>
    <w:p>
      <w:pPr>
        <w:pStyle w:val="Titre2"/>
      </w:pPr>
      <w:r>
        <w:t xml:space="preserve">Tableau récapitulatif des moyennes par région</w:t>
      </w:r>
    </w:p>
    <w:p>
      <w:pPr>
        <w:pStyle w:val="FirstParagraph"/>
      </w:pPr>
      <m:oMathPara>
        <m:oMathParaPr>
          <m:jc m:val="center"/>
        </m:oMathParaPr>
        <m:oMath/>
      </m:oMathPara>
    </w:p>
    <w:p>
      <w:pPr>
        <w:pStyle w:val="FirstParagraph"/>
      </w:pPr>
      <w:r>
        <w:t xml:space="preserve">Dans ce bloc, nous construisons un tableau qui regroupe, pour chaque région (</w:t>
      </w:r>
      <w:r>
        <w:rPr>
          <w:rStyle w:val="VerbatimChar"/>
        </w:rPr>
        <w:t xml:space="preserve">ADM1_FR</w:t>
      </w:r>
      <w:r>
        <w:t xml:space="preserve">), la valeur moyenne des six principaux indicateurs étudiés :</w:t>
      </w:r>
    </w:p>
    <w:p>
      <w:pPr>
        <w:pStyle w:val="Corpsdetexte"/>
      </w:pPr>
      <m:oMathPara>
        <m:oMathParaPr>
          <m:jc m:val="center"/>
        </m:oMathParaPr>
        <m:oMath/>
      </m:oMathPara>
    </w:p>
    <w:p>
      <w:pPr>
        <w:numPr>
          <w:ilvl w:val="0"/>
          <w:numId w:val="1012"/>
        </w:numPr>
        <w:pStyle w:val="Compact"/>
      </w:pPr>
      <w:r>
        <w:t xml:space="preserve">SCA</w:t>
      </w:r>
    </w:p>
    <w:p>
      <w:pPr>
        <w:numPr>
          <w:ilvl w:val="0"/>
          <w:numId w:val="1012"/>
        </w:numPr>
        <w:pStyle w:val="Compact"/>
      </w:pPr>
      <w:r>
        <w:t xml:space="preserve">rSCI</w:t>
      </w:r>
    </w:p>
    <w:p>
      <w:pPr>
        <w:numPr>
          <w:ilvl w:val="0"/>
          <w:numId w:val="1012"/>
        </w:numPr>
        <w:pStyle w:val="Compact"/>
      </w:pPr>
      <w:r>
        <w:t xml:space="preserve">HDDS</w:t>
      </w:r>
    </w:p>
    <w:p>
      <w:pPr>
        <w:numPr>
          <w:ilvl w:val="0"/>
          <w:numId w:val="1012"/>
        </w:numPr>
        <w:pStyle w:val="Compact"/>
      </w:pPr>
      <w:r>
        <w:t xml:space="preserve">MAD</w:t>
      </w:r>
    </w:p>
    <w:p>
      <w:pPr>
        <w:numPr>
          <w:ilvl w:val="0"/>
          <w:numId w:val="1012"/>
        </w:numPr>
        <w:pStyle w:val="Compact"/>
      </w:pPr>
      <w:r>
        <w:t xml:space="preserve">LhCSI</w:t>
      </w:r>
    </w:p>
    <w:p>
      <w:pPr>
        <w:numPr>
          <w:ilvl w:val="0"/>
          <w:numId w:val="1012"/>
        </w:numPr>
        <w:pStyle w:val="Compact"/>
      </w:pPr>
      <w:r>
        <w:t xml:space="preserve">SERS</w:t>
      </w:r>
    </w:p>
    <w:p>
      <w:pPr>
        <w:pStyle w:val="FirstParagraph"/>
      </w:pPr>
      <m:oMathPara>
        <m:oMathParaPr>
          <m:jc m:val="center"/>
        </m:oMathParaPr>
        <m:oMath/>
      </m:oMathPara>
    </w:p>
    <w:tbl xmlns:w14="http://schemas.microsoft.com/office/word/2010/wordml">
      <w:tblPr>
        <w:tblLayout w:type="autofit"/>
        <w:jc w:val="center"/>
        <w:tblW w:type="pct" w:w="5000"/>
        <w:tblLook w:firstRow="1" w:lastRow="0" w:firstColumn="0" w:lastColumn="0" w:noHBand="0" w:noVBand="1"/>
      </w:tblPr>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**Région**</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**SCA moyen**</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**rCSI moyen**</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**HDDS moyen**</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**LhCSI moyen**</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**SERS moyen**</w:t>
            </w:r>
          </w:p>
        </w:tc>
      </w:tr>
      <w:tr>
        <w:trPr>
          <w:trHeight w:val="574"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BARH EL GAZEL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31.1</w:t>
            </w:r>
          </w:p>
        </w:tc>
      </w:tr>
      <w:tr>
        <w:trPr>
          <w:trHeight w:val="572"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BATHA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38.1</w:t>
            </w:r>
          </w:p>
        </w:tc>
      </w:tr>
      <w:tr>
        <w:trPr>
          <w:trHeight w:val="574"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ENNEDI 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25.3</w:t>
            </w:r>
          </w:p>
        </w:tc>
      </w:tr>
      <w:tr>
        <w:trPr>
          <w:trHeight w:val="611"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GUÉRA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37.9</w:t>
            </w:r>
          </w:p>
        </w:tc>
      </w:tr>
      <w:tr>
        <w:trPr>
          <w:trHeight w:val="572"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KANEM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33.0</w:t>
            </w:r>
          </w:p>
        </w:tc>
      </w:tr>
      <w:tr>
        <w:trPr>
          <w:trHeight w:val="574"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LAC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33.9</w:t>
            </w:r>
          </w:p>
        </w:tc>
      </w:tr>
      <w:tr>
        <w:trPr>
          <w:trHeight w:val="603"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OUADDAÏ</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40.4</w:t>
            </w:r>
          </w:p>
        </w:tc>
      </w:tr>
      <w:tr>
        <w:trPr>
          <w:trHeight w:val="574"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SALAMAT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37.7</w:t>
            </w:r>
          </w:p>
        </w:tc>
      </w:tr>
      <w:tr>
        <w:trPr>
          <w:trHeight w:val="574"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SILA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35.2</w:t>
            </w:r>
          </w:p>
        </w:tc>
      </w:tr>
      <w:tr>
        <w:trPr>
          <w:trHeight w:val="572"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WADI FIRA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Source : Calcul de l’auteur</w:t>
            </w:r>
          </w:p>
        </w:tc>
      </w:tr>
    </w:tbl>
    <w:p>
      <w:pPr>
        <w:pStyle w:val="FirstParagraph"/>
      </w:pPr>
      <m:oMathPara>
        <m:oMathParaPr>
          <m:jc m:val="center"/>
        </m:oMathParaPr>
        <m:oMath/>
      </m:oMathPara>
    </w:p>
    <w:p>
      <w:pPr>
        <w:pStyle w:val="FirstParagraph"/>
      </w:pPr>
      <w:r>
        <w:t xml:space="preserve">L’analyse des indicateurs par région révèle que: Lac se distingue par les valeurs les plus élevées de SCA (57,8) et de HDDS (7,3), témoignant d’une consommation alimentaire à la fois fréquente et diversifiée, tout en affichant un rCSI modéré (5,5) et un SERS moyen (33,9). À l’opposé, Wadi Fira présente les scores les plus faibles pour la plupart des indicateurs nutritionnels (SCA = 39,0, HDDS = 4,8) mais compense par un SERS élevé (40,2), suggérant une résilience perçue forte malgré une situation alimentaire plus précaire. Ennedi Est affiche le rCSI moyen le plus élevé (14,2), signe d’un recours fréquent à des stratégies d’adaptation en cas de pénurie, associé cependant à un SERS relativement bas (25,3). Les régions de Salamat et Ouaddaï montrent des combinaisons intéressantes : Salamat a un SCA élevé (52,2) et un HDDS correct (6,0) mais un rCSI très bas (4,0), tandis qu’Ouaddaï allie SERS élevé (40,4) et rCSI modéré (5,4), reflétant des dynamiques de résilience différentes. Enfin, Batha, Guéra, Kanem et Sila se situent près de la moyenne nationale pour tous les indicateurs, sans excès ni déficit prononcé, illustrant des situations alimentaires et de résilience intermédiaires.</w:t>
      </w:r>
    </w:p>
    <w:p>
      <w:r>
        <w:br w:type="page"/>
      </w:r>
    </w:p>
    <w:bookmarkEnd w:id="79"/>
    <w:bookmarkStart w:id="80" w:name="X2f349a88a29b69bd9958d03776db99891985a18"/>
    <w:p>
      <w:pPr>
        <w:pStyle w:val="Titre2"/>
      </w:pPr>
      <w:r>
        <w:t xml:space="preserve">Tableau récapitulatif des moyennes suivant le sexe du chef de ménage</w:t>
      </w:r>
    </w:p>
    <w:tbl xmlns:w14="http://schemas.microsoft.com/office/word/2010/wordml">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FFFFFF"/>
              </w:rPr>
            </w:pPr>
            <w:r>
              <w:rPr>
                <w:rFonts w:ascii="Arial" w:hAnsi="Arial" w:eastAsia="Arial" w:cs="Arial"/>
                <w:i w:val="false"/>
                <w:b w:val="true"/>
                <w:u w:val="none"/>
                <w:sz w:val="18"/>
                <w:szCs w:val="18"/>
                <w:color w:val="FFFFFF"/>
              </w:rPr>
              <w:t xml:space="preserve">**Sexe**</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FFFFFF"/>
              </w:rPr>
            </w:pPr>
            <w:r>
              <w:rPr>
                <w:rFonts w:ascii="Arial" w:hAnsi="Arial" w:eastAsia="Arial" w:cs="Arial"/>
                <w:i w:val="false"/>
                <w:b w:val="true"/>
                <w:u w:val="none"/>
                <w:sz w:val="18"/>
                <w:szCs w:val="18"/>
                <w:color w:val="FFFFFF"/>
              </w:rPr>
              <w:t xml:space="preserve">**SCA moyen**</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FFFFFF"/>
              </w:rPr>
            </w:pPr>
            <w:r>
              <w:rPr>
                <w:rFonts w:ascii="Arial" w:hAnsi="Arial" w:eastAsia="Arial" w:cs="Arial"/>
                <w:i w:val="false"/>
                <w:b w:val="true"/>
                <w:u w:val="none"/>
                <w:sz w:val="18"/>
                <w:szCs w:val="18"/>
                <w:color w:val="FFFFFF"/>
              </w:rPr>
              <w:t xml:space="preserve">**rCSI moyen**</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FFFFFF"/>
              </w:rPr>
            </w:pPr>
            <w:r>
              <w:rPr>
                <w:rFonts w:ascii="Arial" w:hAnsi="Arial" w:eastAsia="Arial" w:cs="Arial"/>
                <w:i w:val="false"/>
                <w:b w:val="true"/>
                <w:u w:val="none"/>
                <w:sz w:val="18"/>
                <w:szCs w:val="18"/>
                <w:color w:val="FFFFFF"/>
              </w:rPr>
              <w:t xml:space="preserve">**HDDS moyen**</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FFFFFF"/>
              </w:rPr>
            </w:pPr>
            <w:r>
              <w:rPr>
                <w:rFonts w:ascii="Arial" w:hAnsi="Arial" w:eastAsia="Arial" w:cs="Arial"/>
                <w:i w:val="false"/>
                <w:b w:val="true"/>
                <w:u w:val="none"/>
                <w:sz w:val="18"/>
                <w:szCs w:val="18"/>
                <w:color w:val="FFFFFF"/>
              </w:rPr>
              <w:t xml:space="preserve">**LhCSI moyen**</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true"/>
                <w:u w:val="none"/>
                <w:sz w:val="18"/>
                <w:szCs w:val="18"/>
                <w:color w:val="FFFFFF"/>
              </w:rPr>
            </w:pPr>
            <w:r>
              <w:rPr>
                <w:rFonts w:ascii="Arial" w:hAnsi="Arial" w:eastAsia="Arial" w:cs="Arial"/>
                <w:i w:val="false"/>
                <w:b w:val="true"/>
                <w:u w:val="none"/>
                <w:sz w:val="18"/>
                <w:szCs w:val="18"/>
                <w:color w:val="FFFFFF"/>
              </w:rPr>
              <w:t xml:space="preserve">**SERS moyen**</w:t>
            </w:r>
          </w:p>
        </w:tc>
      </w:tr>
      <w:tr>
        <w:trPr>
          <w:trHeight w:val="572"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Femme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46.9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6.4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5.7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35.5</w:t>
            </w:r>
          </w:p>
        </w:tc>
      </w:tr>
      <w:tr>
        <w:trPr>
          <w:trHeight w:val="572"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Homme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47.6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5.3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6.1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0.6</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35.5</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Source : Calcul de l’auteur</w:t>
            </w:r>
          </w:p>
        </w:tc>
      </w:tr>
    </w:tbl>
    <w:p>
      <w:pPr>
        <w:pStyle w:val="FirstParagraph"/>
      </w:pPr>
      <w:r>
        <w:t xml:space="preserve">L’analyse comparative des indicateurs de sécurité alimentaire et de résilience selon le sexe du chef de ménage révèle que:</w:t>
      </w:r>
      <w:r>
        <w:t xml:space="preserve"> </w:t>
      </w:r>
      <w:r>
        <w:t xml:space="preserve">- Les ménages dirigés par des femmes affichent un SCA moyen de 49,2, légèrement inférieur à celui des hommes (50,8), mais avec un rSCI plus élevé (7,4 contre 6,9), indiquant un recours plus fréquent à des stratégies de survie.</w:t>
      </w:r>
      <w:r>
        <w:t xml:space="preserve"> </w:t>
      </w:r>
      <w:r>
        <w:t xml:space="preserve">- Les ménages dirigés par des femmes ont un HDDS moyen plus bas (5.7) que ceux dirigés par des hommes (6.1).</w:t>
      </w:r>
      <w:r>
        <w:t xml:space="preserve"> </w:t>
      </w:r>
      <w:r>
        <w:t xml:space="preserve">- Les scores moyens de LhCSI et de SERS sont identiques, ce qui pourrait suggérer une exposition équivalente aux situations de stress, crise ou urgence, quel que soit le sexe du chef et une perception similaire de leur capacité à faire face aux chocs.</w:t>
      </w:r>
    </w:p>
    <w:p>
      <w:pPr>
        <w:pStyle w:val="Corpsdetexte"/>
      </w:pPr>
      <m:oMathPara>
        <m:oMathParaPr>
          <m:jc m:val="center"/>
        </m:oMathParaPr>
        <m:oMath/>
      </m:oMathPara>
    </w:p>
    <w:p>
      <w:pPr>
        <w:pStyle w:val="FirstParagraph"/>
      </w:pPr>
      <w:r>
        <w:t xml:space="preserve">Nous allons maintenant faire un t-test (au seuil de 5%) pour chaque indicateur afin de voir s’il y a une différence significative entre hommes et femmes.</w:t>
      </w:r>
    </w:p>
    <w:tbl xmlns:w14="http://schemas.microsoft.com/office/word/2010/wordml">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Indicateur</w:t>
            </w:r>
          </w:p>
        </w:tc>
        <w:tc>
          <w:tcPr>
            <w:tcBorders>
              <w:bottom w:val="single" w:sz="12" w:space="0" w:color="666666"/>
              <w:top w:val="single" w:sz="12" w:space="0" w:color="666666"/>
              <w:left w:val="none" w:sz="0" w:space="0" w:color="000000"/>
              <w:right w:val="none" w:sz="0" w:space="0" w:color="000000"/>
            </w:tcBorders>
            <w:shd w:val="clear" w:color="auto" w:fill="0073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p_value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LhCSI_score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0.596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0.842</w:t>
            </w:r>
          </w:p>
        </w:tc>
      </w:tr>
    </w:tbl>
    <w:p>
      <w:pPr>
        <w:pStyle w:val="Corpsdetexte"/>
      </w:pPr>
      <m:oMathPara>
        <m:oMathParaPr>
          <m:jc m:val="center"/>
        </m:oMathParaPr>
        <m:oMath/>
      </m:oMathPara>
    </w:p>
    <w:p>
      <w:pPr>
        <w:pStyle w:val="FirstParagraph"/>
      </w:pPr>
      <w:r>
        <w:t xml:space="preserve">Les t-test confirme que le sexe du chef de ménage influence certains de ces indicateurs.</w:t>
      </w:r>
      <w:r>
        <w:t xml:space="preserve"> </w:t>
      </w:r>
      <w:r>
        <w:t xml:space="preserve">Pour le SCA, le rSCI et le HDDS_score, les 3 p-values sont &lt; 0.05, donc il y a une différence significative entre les femmes et les hommes pour ces 3 indicateurs. En revanche , pour le LhCSI_score et le SERS_score, les p-values sont &gt; 0.05, donc il n’y a pas de différence significative entre les femmes et les hommes pour ces deux indicateurs.</w:t>
      </w:r>
    </w:p>
    <w:p>
      <w:pPr>
        <w:pStyle w:val="Corpsdetexte"/>
      </w:pPr>
      <m:oMathPara>
        <m:oMathParaPr>
          <m:jc m:val="center"/>
        </m:oMathParaPr>
        <m:oMath/>
      </m:oMathPara>
    </w:p>
    <w:p>
      <w:pPr>
        <w:numPr>
          <w:ilvl w:val="0"/>
          <w:numId w:val="1013"/>
        </w:numPr>
      </w:pPr>
      <w:r>
        <w:t xml:space="preserve">Puisque pour SCA, on avait Moyenne femme : 46.9, Moyenne homme : 50.8, on peut dire que ménages dirigés par des femmes consomment une alimentation légèrement moins diversifiée et moins fréquente que ceux dirigés par des hommes.</w:t>
      </w:r>
    </w:p>
    <w:p>
      <w:pPr>
        <w:numPr>
          <w:ilvl w:val="0"/>
          <w:numId w:val="1013"/>
        </w:numPr>
      </w:pPr>
      <w:r>
        <w:t xml:space="preserve">Pour le rSCI, on avait Moyenne femme : 6.4, Moyenne homme : 6.9, on peut dire que les ménages dirigés par des femmes ont recours à des stratégies de survie plus fréquentes que ceux dirigés par des hommes.</w:t>
      </w:r>
    </w:p>
    <w:p>
      <w:pPr>
        <w:numPr>
          <w:ilvl w:val="0"/>
          <w:numId w:val="1013"/>
        </w:numPr>
      </w:pPr>
      <w:r>
        <w:t xml:space="preserve">Pour le HDDS, on avait Moyenne femme : 5.7, Moyenne homme : 6.1, on peut dire que les ménages dirigés par des femmes ont une diversité alimentaire légèrement inférieure à ceux dirigés par des hommes.</w:t>
      </w:r>
    </w:p>
    <w:p>
      <w:r>
        <w:br w:type="page"/>
      </w:r>
    </w:p>
    <w:bookmarkEnd w:id="80"/>
    <w:bookmarkEnd w:id="81"/>
    <w:bookmarkStart w:id="82" w:name="conclusion-et-recommandations"/>
    <w:p>
      <w:pPr>
        <w:pStyle w:val="Titre1"/>
      </w:pPr>
      <w:r>
        <w:t xml:space="preserve">Conclusion et recommandations</w:t>
      </w:r>
    </w:p>
    <w:p>
      <w:pPr>
        <w:pStyle w:val="FirstParagraph"/>
      </w:pPr>
      <m:oMathPara>
        <m:oMathParaPr>
          <m:jc m:val="center"/>
        </m:oMathParaPr>
        <m:oMath/>
      </m:oMathPara>
    </w:p>
    <w:p>
      <w:pPr>
        <w:pStyle w:val="FirstParagraph"/>
      </w:pPr>
      <w:r>
        <w:t xml:space="preserve">Ce rapport a présenté une</w:t>
      </w:r>
      <w:r>
        <w:t xml:space="preserve"> </w:t>
      </w:r>
      <w:r>
        <w:rPr>
          <w:bCs/>
          <w:b/>
        </w:rPr>
        <w:t xml:space="preserve">analyse multidimensionnelle</w:t>
      </w:r>
      <w:r>
        <w:t xml:space="preserve"> </w:t>
      </w:r>
      <w:r>
        <w:t xml:space="preserve">de la sécurité alimentaire et de la résilience des ménages tchadiens, en mobilisant six indicateurs clés :</w:t>
      </w:r>
    </w:p>
    <w:p>
      <w:pPr>
        <w:numPr>
          <w:ilvl w:val="0"/>
          <w:numId w:val="1014"/>
        </w:numPr>
        <w:pStyle w:val="Compact"/>
      </w:pPr>
      <w:r>
        <w:rPr>
          <w:bCs/>
          <w:b/>
        </w:rPr>
        <w:t xml:space="preserve">Score de Consommation Alimentaire (SCA)</w:t>
      </w:r>
    </w:p>
    <w:p>
      <w:pPr>
        <w:numPr>
          <w:ilvl w:val="0"/>
          <w:numId w:val="1014"/>
        </w:numPr>
        <w:pStyle w:val="Compact"/>
      </w:pPr>
      <w:r>
        <w:rPr>
          <w:bCs/>
          <w:b/>
        </w:rPr>
        <w:t xml:space="preserve">Indice Réduit des Stratégies de Survie (rCSI)</w:t>
      </w:r>
    </w:p>
    <w:p>
      <w:pPr>
        <w:numPr>
          <w:ilvl w:val="0"/>
          <w:numId w:val="1014"/>
        </w:numPr>
        <w:pStyle w:val="Compact"/>
      </w:pPr>
      <w:r>
        <w:rPr>
          <w:bCs/>
          <w:b/>
        </w:rPr>
        <w:t xml:space="preserve">Stratégies d’Adaptation aux Moyens d’Existence (LhCSI)</w:t>
      </w:r>
    </w:p>
    <w:p>
      <w:pPr>
        <w:numPr>
          <w:ilvl w:val="0"/>
          <w:numId w:val="1014"/>
        </w:numPr>
        <w:pStyle w:val="Compact"/>
      </w:pPr>
      <w:r>
        <w:rPr>
          <w:bCs/>
          <w:b/>
        </w:rPr>
        <w:t xml:space="preserve">Score de Diversité Alimentaire des Ménages (HDDS)</w:t>
      </w:r>
    </w:p>
    <w:p>
      <w:pPr>
        <w:numPr>
          <w:ilvl w:val="0"/>
          <w:numId w:val="1014"/>
        </w:numPr>
        <w:pStyle w:val="Compact"/>
      </w:pPr>
      <w:r>
        <w:rPr>
          <w:bCs/>
          <w:b/>
        </w:rPr>
        <w:t xml:space="preserve">Score Évalué par les Sous-énoncés de Résilience (SERS)</w:t>
      </w:r>
    </w:p>
    <w:p>
      <w:pPr>
        <w:numPr>
          <w:ilvl w:val="0"/>
          <w:numId w:val="1014"/>
        </w:numPr>
        <w:pStyle w:val="Compact"/>
      </w:pPr>
      <w:r>
        <w:rPr>
          <w:bCs/>
          <w:b/>
        </w:rPr>
        <w:t xml:space="preserve">Régime Alimentaire Minimum Acceptable (MAD)</w:t>
      </w:r>
    </w:p>
    <w:p>
      <w:pPr>
        <w:pStyle w:val="FirstParagraph"/>
      </w:pPr>
      <m:oMathPara>
        <m:oMathParaPr>
          <m:jc m:val="center"/>
        </m:oMathParaPr>
        <m:oMath/>
      </m:oMathPara>
    </w:p>
    <w:p>
      <w:pPr>
        <w:pStyle w:val="FirstParagraph"/>
      </w:pPr>
      <w:r>
        <w:t xml:space="preserve">L’analyse révèle de</w:t>
      </w:r>
      <w:r>
        <w:t xml:space="preserve"> </w:t>
      </w:r>
      <w:r>
        <w:rPr>
          <w:bCs/>
          <w:b/>
        </w:rPr>
        <w:t xml:space="preserve">fortes disparités régionales</w:t>
      </w:r>
      <w:r>
        <w:t xml:space="preserve">. Les régions du</w:t>
      </w:r>
      <w:r>
        <w:t xml:space="preserve"> </w:t>
      </w:r>
      <w:r>
        <w:rPr>
          <w:iCs/>
          <w:i/>
        </w:rPr>
        <w:t xml:space="preserve">Lac</w:t>
      </w:r>
      <w:r>
        <w:t xml:space="preserve"> </w:t>
      </w:r>
      <w:r>
        <w:t xml:space="preserve">et de</w:t>
      </w:r>
      <w:r>
        <w:t xml:space="preserve"> </w:t>
      </w:r>
      <w:r>
        <w:rPr>
          <w:iCs/>
          <w:i/>
        </w:rPr>
        <w:t xml:space="preserve">Salamat</w:t>
      </w:r>
      <w:r>
        <w:t xml:space="preserve"> </w:t>
      </w:r>
      <w:r>
        <w:t xml:space="preserve">présentent les scores les plus élevés en SCA et HDDS, traduisant une meilleure diversité et fréquence de consommation alimentaire. En revanche,</w:t>
      </w:r>
      <w:r>
        <w:t xml:space="preserve"> </w:t>
      </w:r>
      <w:r>
        <w:rPr>
          <w:iCs/>
          <w:i/>
        </w:rPr>
        <w:t xml:space="preserve">Ennedi Est</w:t>
      </w:r>
      <w:r>
        <w:t xml:space="preserve"> </w:t>
      </w:r>
      <w:r>
        <w:t xml:space="preserve">et</w:t>
      </w:r>
      <w:r>
        <w:t xml:space="preserve"> </w:t>
      </w:r>
      <w:r>
        <w:rPr>
          <w:iCs/>
          <w:i/>
        </w:rPr>
        <w:t xml:space="preserve">Wadi Fira</w:t>
      </w:r>
      <w:r>
        <w:t xml:space="preserve"> </w:t>
      </w:r>
      <w:r>
        <w:t xml:space="preserve">se distinguent par des niveaux de rCSI particulièrement élevés, signe d’un recours accru aux stratégies de survie. Le score de résilience perçue (SERS) est, quant à lui, maximal dans les régions de</w:t>
      </w:r>
      <w:r>
        <w:t xml:space="preserve"> </w:t>
      </w:r>
      <w:r>
        <w:rPr>
          <w:iCs/>
          <w:i/>
        </w:rPr>
        <w:t xml:space="preserve">Ouaddaï</w:t>
      </w:r>
      <w:r>
        <w:t xml:space="preserve"> </w:t>
      </w:r>
      <w:r>
        <w:t xml:space="preserve">et</w:t>
      </w:r>
      <w:r>
        <w:t xml:space="preserve"> </w:t>
      </w:r>
      <w:r>
        <w:rPr>
          <w:iCs/>
          <w:i/>
        </w:rPr>
        <w:t xml:space="preserve">Wadi Fira</w:t>
      </w:r>
      <w:r>
        <w:t xml:space="preserve">, illustrant des dynamiques contrastées en matière de résilience selon les zones.</w:t>
      </w:r>
    </w:p>
    <w:p>
      <w:pPr>
        <w:pStyle w:val="Corpsdetexte"/>
      </w:pPr>
      <m:oMathPara>
        <m:oMathParaPr>
          <m:jc m:val="center"/>
        </m:oMathParaPr>
        <m:oMath/>
      </m:oMathPara>
    </w:p>
    <w:p>
      <w:pPr>
        <w:pStyle w:val="FirstParagraph"/>
      </w:pPr>
      <w:r>
        <w:t xml:space="preserve">Concernant le</w:t>
      </w:r>
      <w:r>
        <w:t xml:space="preserve"> </w:t>
      </w:r>
      <w:r>
        <w:rPr>
          <w:bCs/>
          <w:b/>
        </w:rPr>
        <w:t xml:space="preserve">Régime Alimentaire Minimum Acceptable (MAD)</w:t>
      </w:r>
      <w:r>
        <w:t xml:space="preserve">, bien que la couverture reste globalement faible (moins de 15 % des enfants de 6 à 23 mois), on observe une nette amélioration entre 2022 et 2023, avec une proportion presque doublée. Aucune différence significative n’a été relevée selon le sexe du chef de ménage.</w:t>
      </w:r>
    </w:p>
    <w:p>
      <w:pPr>
        <w:pStyle w:val="Corpsdetexte"/>
      </w:pPr>
      <m:oMathPara>
        <m:oMathParaPr>
          <m:jc m:val="center"/>
        </m:oMathParaPr>
        <m:oMath/>
      </m:oMathPara>
    </w:p>
    <w:p>
      <w:pPr>
        <w:pStyle w:val="FirstParagraph"/>
      </w:pPr>
      <w:r>
        <w:t xml:space="preserve">Ces constats appellent plusieurs recommandations :</w:t>
      </w:r>
    </w:p>
    <w:p>
      <w:pPr>
        <w:pStyle w:val="Corpsdetexte"/>
      </w:pPr>
      <m:oMathPara>
        <m:oMathParaPr>
          <m:jc m:val="center"/>
        </m:oMathParaPr>
        <m:oMath/>
      </m:oMathPara>
    </w:p>
    <w:p>
      <w:pPr>
        <w:pStyle w:val="FirstParagraph"/>
      </w:pPr>
      <w:r>
        <w:t xml:space="preserve">1.</w:t>
      </w:r>
      <w:r>
        <w:t xml:space="preserve"> </w:t>
      </w:r>
      <w:r>
        <w:rPr>
          <w:bCs/>
          <w:b/>
        </w:rPr>
        <w:t xml:space="preserve">Renforcer l’accès à une diversité alimentaire</w:t>
      </w:r>
      <w:r>
        <w:t xml:space="preserve"> </w:t>
      </w:r>
      <w:r>
        <w:t xml:space="preserve">— particulièrement pour les fruits et protéines animales dans les régions à HDDS faible.</w:t>
      </w:r>
      <w:r>
        <w:t xml:space="preserve"> </w:t>
      </w:r>
      <w:r>
        <w:t xml:space="preserve">2.</w:t>
      </w:r>
      <w:r>
        <w:t xml:space="preserve"> </w:t>
      </w:r>
      <w:r>
        <w:rPr>
          <w:bCs/>
          <w:b/>
        </w:rPr>
        <w:t xml:space="preserve">Mettre en place des filets de sécurité ciblés</w:t>
      </w:r>
      <w:r>
        <w:t xml:space="preserve"> </w:t>
      </w:r>
      <w:r>
        <w:t xml:space="preserve">pour alléger le recours aux stratégies de survie sévères (haut rCSI).</w:t>
      </w:r>
      <w:r>
        <w:br/>
      </w:r>
      <w:r>
        <w:t xml:space="preserve">3.</w:t>
      </w:r>
      <w:r>
        <w:t xml:space="preserve"> </w:t>
      </w:r>
      <w:r>
        <w:rPr>
          <w:bCs/>
          <w:b/>
        </w:rPr>
        <w:t xml:space="preserve">Accroître la sensibilisation et l’appui à l’alimentation infantile</w:t>
      </w:r>
      <w:r>
        <w:t xml:space="preserve"> </w:t>
      </w:r>
      <w:r>
        <w:t xml:space="preserve">(MAD) via des programmes de distribution de denrées complémentaires.</w:t>
      </w:r>
      <w:r>
        <w:br/>
      </w:r>
      <w:r>
        <w:t xml:space="preserve">4.</w:t>
      </w:r>
      <w:r>
        <w:t xml:space="preserve"> </w:t>
      </w:r>
      <w:r>
        <w:rPr>
          <w:bCs/>
          <w:b/>
        </w:rPr>
        <w:t xml:space="preserve">Adapter les interventions au contexte régional</w:t>
      </w:r>
      <w:r>
        <w:t xml:space="preserve">, en tenant compte du SERS pour cibler les ménages les plus vulnérables.</w:t>
      </w:r>
    </w:p>
    <w:bookmarkEnd w:id="82"/>
    <w:sectPr w:rsidR="00962762" w:rsidRPr="00962762" w:rsidSect="00355063">
      <w:headerReference r:id="rId9" w:type="default"/>
      <w:footerReference r:id="rId10" w:type="default"/>
      <w:type w:val="continuous"/>
      <w:pgSz w:h="16838" w:w="11906"/>
      <w:pgMar w:bottom="1417" w:footer="708" w:gutter="0" w:header="708" w:left="1417" w:right="1417" w:top="1417"/>
      <w:pgBorders w:display="firstPage" w:offsetFrom="page">
        <w:top w:color="1F3864" w:space="24" w:sz="18" w:themeColor="accent5" w:themeShade="80" w:val="thickThinSmallGap"/>
        <w:left w:color="1F3864" w:space="24" w:sz="18" w:themeColor="accent5" w:themeShade="80" w:val="thickThinSmallGap"/>
        <w:bottom w:color="1F3864" w:space="24" w:sz="18" w:themeColor="accent5" w:themeShade="80" w:val="thickThinSmallGap"/>
        <w:right w:color="1F3864" w:space="24" w:sz="18" w:themeColor="accent5" w:themeShade="80" w:val="thickThinSmallGap"/>
      </w:pgBorders>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BT-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14717"/>
      <w:docPartObj>
        <w:docPartGallery w:val="Page Numbers (Bottom of Page)"/>
        <w:docPartUnique/>
      </w:docPartObj>
    </w:sdtPr>
    <w:sdtEndPr>
      <w:rPr>
        <w:i/>
        <w:sz w:val="20"/>
        <w:szCs w:val="20"/>
      </w:rPr>
    </w:sdtEndPr>
    <w:sdtContent>
      <w:p w:rsidR="004126DC" w:rsidRPr="00C807F3" w:rsidRDefault="004126DC" w:rsidP="00C807F3">
        <w:pPr>
          <w:pStyle w:val="Pieddepage"/>
          <w:tabs>
            <w:tab w:val="clear" w:pos="4536"/>
            <w:tab w:val="clear" w:pos="9072"/>
            <w:tab w:val="left" w:pos="7935"/>
          </w:tabs>
          <w:jc w:val="center"/>
          <w:rPr>
            <w:i/>
            <w:sz w:val="20"/>
            <w:szCs w:val="20"/>
          </w:rPr>
        </w:pPr>
        <w:r w:rsidRPr="00C807F3">
          <w:rPr>
            <w:rFonts w:asciiTheme="majorHAnsi" w:eastAsiaTheme="majorEastAsia" w:hAnsiTheme="majorHAnsi" w:cstheme="majorBidi"/>
            <w:i/>
            <w:noProof/>
            <w:sz w:val="20"/>
            <w:szCs w:val="20"/>
            <w:lang w:val="en-US"/>
          </w:rPr>
          <mc:AlternateContent>
            <mc:Choice Requires="wps">
              <w:drawing>
                <wp:anchor distT="0" distB="0" distL="114300" distR="114300" simplePos="0" relativeHeight="251657216" behindDoc="0" locked="0" layoutInCell="1" allowOverlap="1" wp14:anchorId="5D7B24E2" wp14:editId="5842E531">
                  <wp:simplePos x="0" y="0"/>
                  <wp:positionH relativeFrom="rightMargin">
                    <wp:align>center</wp:align>
                  </wp:positionH>
                  <wp:positionV relativeFrom="bottomMargin">
                    <wp:align>center</wp:align>
                  </wp:positionV>
                  <wp:extent cx="512445" cy="441325"/>
                  <wp:effectExtent l="0" t="0" r="1905" b="0"/>
                  <wp:wrapNone/>
                  <wp:docPr id="43" name="Organigramme : Alternativ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126DC" w:rsidRDefault="004126DC">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962762" w:rsidRPr="00962762">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B24E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 o:spid="_x0000_s1026" type="#_x0000_t176" style="position:absolute;left:0;text-align:left;margin-left:0;margin-top:0;width:40.35pt;height:34.75pt;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" filled="f" fillcolor="#5c83b4" stroked="f" strokecolor="#737373">
                  <v:textbox>
                    <w:txbxContent>
                      <w:p w:rsidR="004126DC" w:rsidRDefault="004126DC">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962762" w:rsidRPr="00962762">
                          <w:rPr>
                            <w:noProof/>
                            <w:sz w:val="28"/>
                            <w:szCs w:val="28"/>
                          </w:rPr>
                          <w:t>2</w:t>
                        </w:r>
                        <w:r>
                          <w:rPr>
                            <w:sz w:val="28"/>
                            <w:szCs w:val="28"/>
                          </w:rPr>
                          <w:fldChar w:fldCharType="end"/>
                        </w:r>
                      </w:p>
                    </w:txbxContent>
                  </v:textbox>
                  <w10:wrap anchorx="margin" anchory="margin"/>
                </v:shape>
              </w:pict>
            </mc:Fallback>
          </mc:AlternateContent>
        </w:r>
        <w:r w:rsidR="00C807F3" w:rsidRPr="00C807F3">
          <w:rPr>
            <w:i/>
            <w:sz w:val="20"/>
            <w:szCs w:val="20"/>
          </w:rPr>
          <w:t xml:space="preserve">Réalisé par </w:t>
        </w:r>
        <w:r w:rsidR="00C807F3" w:rsidRPr="00C807F3">
          <w:rPr>
            <w:b/>
            <w:i/>
            <w:sz w:val="20"/>
            <w:szCs w:val="20"/>
          </w:rPr>
          <w:t>FOGWOUNG DJOUFACK Sarah-Laure</w:t>
        </w:r>
        <w:r w:rsidR="00C807F3" w:rsidRPr="00C807F3">
          <w:rPr>
            <w:i/>
            <w:sz w:val="20"/>
            <w:szCs w:val="20"/>
          </w:rPr>
          <w:t xml:space="preserve">, étudiante en </w:t>
        </w:r>
        <w:r w:rsidR="00C807F3" w:rsidRPr="00C807F3">
          <w:rPr>
            <w:b/>
            <w:i/>
            <w:sz w:val="20"/>
            <w:szCs w:val="20"/>
          </w:rPr>
          <w:t>ISEP3 à l’ENSAE</w:t>
        </w:r>
        <w:r w:rsidR="00C807F3" w:rsidRPr="00C807F3">
          <w:rPr>
            <w:i/>
            <w:sz w:val="20"/>
            <w:szCs w:val="20"/>
          </w:rPr>
          <w:t xml:space="preserve"> de Dakar dans le cadre de </w:t>
        </w:r>
        <w:r w:rsidR="00C807F3" w:rsidRPr="00C807F3">
          <w:rPr>
            <w:b/>
            <w:i/>
            <w:sz w:val="20"/>
            <w:szCs w:val="20"/>
          </w:rPr>
          <w:t>l’examen de projet statistique avec R</w:t>
        </w:r>
        <w:r w:rsidR="00C807F3" w:rsidRPr="00C807F3">
          <w:rPr>
            <w:i/>
            <w:sz w:val="20"/>
            <w:szCs w:val="20"/>
          </w:rPr>
          <w:t xml:space="preserve"> </w: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6DC" w:rsidRPr="00C807F3" w:rsidRDefault="00C807F3" w:rsidP="00C807F3">
    <w:pPr>
      <w:pStyle w:val="En-tte"/>
      <w:jc w:val="right"/>
      <w:rPr>
        <w:b/>
        <w:i/>
        <w:color w:val="5B9BD5" w:themeColor="accent1"/>
      </w:rPr>
    </w:pPr>
    <w:r w:rsidRPr="00C807F3">
      <w:rPr>
        <w:b/>
        <w:i/>
        <w:color w:val="5B9BD5" w:themeColor="accent1"/>
      </w:rPr>
      <w:t>Indicateurs d’insécurité alimentaire au Tchad</w:t>
    </w: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5FD70C6"/>
    <w:multiLevelType w:val="multilevel"/>
    <w:tmpl w:val="4F70F02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131551A1"/>
    <w:multiLevelType w:val="multilevel"/>
    <w:tmpl w:val="F790E722"/>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
    <w:nsid w:val="184F53A7"/>
    <w:multiLevelType w:val="multilevel"/>
    <w:tmpl w:val="F096447C"/>
    <w:lvl w:ilvl="0">
      <w:start w:val="1"/>
      <w:numFmt w:val="decimal"/>
      <w:lvlText w:val="%1"/>
      <w:lvlJc w:val="left"/>
      <w:pPr>
        <w:ind w:hanging="405" w:left="405"/>
      </w:pPr>
      <w:rPr>
        <w:rFonts w:hint="default"/>
      </w:rPr>
    </w:lvl>
    <w:lvl w:ilvl="1">
      <w:start w:val="1"/>
      <w:numFmt w:val="decimal"/>
      <w:lvlText w:val="%1.%2"/>
      <w:lvlJc w:val="left"/>
      <w:pPr>
        <w:ind w:hanging="720" w:left="720"/>
      </w:pPr>
      <w:rPr>
        <w:rFonts w:hint="default"/>
      </w:rPr>
    </w:lvl>
    <w:lvl w:ilvl="2">
      <w:start w:val="1"/>
      <w:numFmt w:val="decimal"/>
      <w:pStyle w:val="TITRE3"/>
      <w:lvlText w:val="%1.%2.%3"/>
      <w:lvlJc w:val="left"/>
      <w:pPr>
        <w:ind w:hanging="720" w:left="1004"/>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3">
    <w:nsid w:val="1A846A42"/>
    <w:multiLevelType w:val="multilevel"/>
    <w:tmpl w:val="7D4C386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1D952215"/>
    <w:multiLevelType w:val="multilevel"/>
    <w:tmpl w:val="02CC9656"/>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5">
    <w:nsid w:val="1DB60CF4"/>
    <w:multiLevelType w:val="hybridMultilevel"/>
    <w:tmpl w:val="82E4D8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220728EA"/>
    <w:multiLevelType w:val="multilevel"/>
    <w:tmpl w:val="BB66EEDE"/>
    <w:numStyleLink w:val="Style4"/>
  </w:abstractNum>
  <w:abstractNum w15:restartNumberingAfterBreak="0" w:abstractNumId="7">
    <w:nsid w:val="224446B7"/>
    <w:multiLevelType w:val="multilevel"/>
    <w:tmpl w:val="C9B84A6A"/>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8">
    <w:nsid w:val="2CD9388C"/>
    <w:multiLevelType w:val="hybridMultilevel"/>
    <w:tmpl w:val="470E47FA"/>
    <w:lvl w:ilvl="0" w:tplc="04090001">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9">
    <w:nsid w:val="36260776"/>
    <w:multiLevelType w:val="hybridMultilevel"/>
    <w:tmpl w:val="B04E1040"/>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0">
    <w:nsid w:val="3FB66176"/>
    <w:multiLevelType w:val="hybridMultilevel"/>
    <w:tmpl w:val="55367CD6"/>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1">
    <w:nsid w:val="4124333B"/>
    <w:multiLevelType w:val="hybridMultilevel"/>
    <w:tmpl w:val="2DB6F0D2"/>
    <w:lvl w:ilvl="0" w:tplc="0EAC49AC">
      <w:start w:val="1"/>
      <w:numFmt w:val="bullet"/>
      <w:lvlText w:val=""/>
      <w:lvlJc w:val="left"/>
      <w:pPr>
        <w:ind w:hanging="360" w:left="720"/>
      </w:pPr>
      <w:rPr>
        <w:rFonts w:ascii="Wingdings" w:hAnsi="Wingdings" w:hint="default"/>
        <w:color w:val="auto"/>
        <w:sz w:val="24"/>
        <w:szCs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422C5043"/>
    <w:multiLevelType w:val="multilevel"/>
    <w:tmpl w:val="A3BE23EE"/>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3">
    <w:nsid w:val="49365819"/>
    <w:multiLevelType w:val="multilevel"/>
    <w:tmpl w:val="FB5A76A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50313C10"/>
    <w:multiLevelType w:val="hybridMultilevel"/>
    <w:tmpl w:val="FE14CC24"/>
    <w:lvl w:ilvl="0" w:tplc="04090001">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5">
    <w:nsid w:val="53244943"/>
    <w:multiLevelType w:val="multilevel"/>
    <w:tmpl w:val="43D6BE82"/>
    <w:styleLink w:val="Style3"/>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53970AB8"/>
    <w:multiLevelType w:val="multilevel"/>
    <w:tmpl w:val="CAFCBF2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55F149D1"/>
    <w:multiLevelType w:val="multilevel"/>
    <w:tmpl w:val="49663D5A"/>
    <w:lvl w:ilvl="0">
      <w:start w:val="1"/>
      <w:numFmt w:val="bullet"/>
      <w:lvlText w:val=""/>
      <w:lvlJc w:val="left"/>
      <w:pPr>
        <w:tabs>
          <w:tab w:pos="720" w:val="num"/>
        </w:tabs>
        <w:ind w:hanging="360" w:left="720"/>
      </w:pPr>
      <w:rPr>
        <w:rFonts w:ascii="Symbol" w:hAnsi="Symbol" w:hint="default"/>
      </w:rPr>
    </w:lvl>
    <w:lvl w:ilvl="1">
      <w:start w:val="1"/>
      <w:numFmt w:val="bullet"/>
      <w:lvlText w:val=""/>
      <w:lvlJc w:val="left"/>
      <w:pPr>
        <w:tabs>
          <w:tab w:pos="1440" w:val="num"/>
        </w:tabs>
        <w:ind w:hanging="360" w:left="1440"/>
      </w:pPr>
      <w:rPr>
        <w:rFonts w:ascii="Symbol" w:hAnsi="Symbol" w:hint="default"/>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560659EB"/>
    <w:multiLevelType w:val="multilevel"/>
    <w:tmpl w:val="27CE590A"/>
    <w:styleLink w:val="Style2"/>
    <w:lvl w:ilvl="0">
      <w:start w:val="1"/>
      <w:numFmt w:val="decimal"/>
      <w:lvlText w:val="%1"/>
      <w:lvlJc w:val="left"/>
      <w:pPr>
        <w:ind w:hanging="360" w:left="720"/>
      </w:pPr>
      <w:rPr>
        <w:rFonts w:ascii="Times New Roman" w:hAnsi="Times New Roman" w:hint="default"/>
        <w:color w:val="auto"/>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9">
    <w:nsid w:val="621D3358"/>
    <w:multiLevelType w:val="hybridMultilevel"/>
    <w:tmpl w:val="F86262E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66CC706A"/>
    <w:multiLevelType w:val="hybridMultilevel"/>
    <w:tmpl w:val="BF62A28E"/>
    <w:lvl w:ilvl="0" w:tplc="04090001">
      <w:start w:val="1"/>
      <w:numFmt w:val="bullet"/>
      <w:lvlText w:val=""/>
      <w:lvlJc w:val="left"/>
      <w:pPr>
        <w:ind w:hanging="360" w:left="720"/>
      </w:pPr>
      <w:rPr>
        <w:rFonts w:ascii="Symbol" w:hAnsi="Symbol" w:hint="default"/>
      </w:rPr>
    </w:lvl>
    <w:lvl w:ilvl="1" w:tplc="0409000D">
      <w:start w:val="1"/>
      <w:numFmt w:val="bullet"/>
      <w:lvlText w:val=""/>
      <w:lvlJc w:val="left"/>
      <w:pPr>
        <w:ind w:hanging="360" w:left="1440"/>
      </w:pPr>
      <w:rPr>
        <w:rFonts w:ascii="Wingdings" w:hAnsi="Wingdings"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1">
    <w:nsid w:val="66ED6228"/>
    <w:multiLevelType w:val="hybridMultilevel"/>
    <w:tmpl w:val="75B04830"/>
    <w:lvl w:ilvl="0" w:tplc="0409000D">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681D7E33"/>
    <w:multiLevelType w:val="multilevel"/>
    <w:tmpl w:val="F790E722"/>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6AFF18DF"/>
    <w:multiLevelType w:val="multilevel"/>
    <w:tmpl w:val="ACCCC3F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6B445E68"/>
    <w:multiLevelType w:val="multilevel"/>
    <w:tmpl w:val="0409001D"/>
    <w:styleLink w:val="Style1"/>
    <w:lvl w:ilvl="0">
      <w:start w:val="1"/>
      <w:numFmt w:val="upperRoman"/>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5">
    <w:nsid w:val="70C326D4"/>
    <w:multiLevelType w:val="hybridMultilevel"/>
    <w:tmpl w:val="A4AA94B8"/>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26">
    <w:nsid w:val="75C67077"/>
    <w:multiLevelType w:val="multilevel"/>
    <w:tmpl w:val="BB66EEDE"/>
    <w:styleLink w:val="Style4"/>
    <w:lvl w:ilvl="0">
      <w:start w:val="1"/>
      <w:numFmt w:val="upperRoman"/>
      <w:pStyle w:val="Titre2"/>
      <w:lvlText w:val="%1-"/>
      <w:lvlJc w:val="center"/>
      <w:pPr>
        <w:ind w:hanging="363" w:left="1781"/>
      </w:pPr>
      <w:rPr>
        <w:rFonts w:hint="default"/>
      </w:rPr>
    </w:lvl>
    <w:lvl w:ilvl="1">
      <w:start w:val="1"/>
      <w:numFmt w:val="decimal"/>
      <w:pStyle w:val="Titre30"/>
      <w:lvlText w:val="%1-%2."/>
      <w:lvlJc w:val="left"/>
      <w:pPr>
        <w:ind w:hanging="164" w:left="1582"/>
      </w:pPr>
      <w:rPr>
        <w:rFonts w:hint="default"/>
      </w:rPr>
    </w:lvl>
    <w:lvl w:ilvl="2">
      <w:start w:val="1"/>
      <w:numFmt w:val="decimal"/>
      <w:pStyle w:val="Titre4"/>
      <w:lvlText w:val="%1-%2-%3."/>
      <w:lvlJc w:val="right"/>
      <w:pPr>
        <w:tabs>
          <w:tab w:pos="2552" w:val="num"/>
        </w:tabs>
        <w:ind w:firstLine="1027" w:left="1525"/>
      </w:pPr>
      <w:rPr>
        <w:rFonts w:hint="default"/>
      </w:rPr>
    </w:lvl>
    <w:lvl w:ilvl="3">
      <w:start w:val="1"/>
      <w:numFmt w:val="decimal"/>
      <w:lvlText w:val="%4."/>
      <w:lvlJc w:val="left"/>
      <w:pPr>
        <w:ind w:hanging="363" w:left="1468"/>
      </w:pPr>
      <w:rPr>
        <w:rFonts w:hint="default"/>
      </w:rPr>
    </w:lvl>
    <w:lvl w:ilvl="4">
      <w:start w:val="1"/>
      <w:numFmt w:val="lowerLetter"/>
      <w:lvlText w:val="%5."/>
      <w:lvlJc w:val="left"/>
      <w:pPr>
        <w:ind w:hanging="363" w:left="1411"/>
      </w:pPr>
      <w:rPr>
        <w:rFonts w:hint="default"/>
      </w:rPr>
    </w:lvl>
    <w:lvl w:ilvl="5">
      <w:start w:val="1"/>
      <w:numFmt w:val="lowerRoman"/>
      <w:lvlText w:val="%6."/>
      <w:lvlJc w:val="right"/>
      <w:pPr>
        <w:ind w:hanging="363" w:left="1354"/>
      </w:pPr>
      <w:rPr>
        <w:rFonts w:hint="default"/>
      </w:rPr>
    </w:lvl>
    <w:lvl w:ilvl="6">
      <w:start w:val="1"/>
      <w:numFmt w:val="decimal"/>
      <w:lvlText w:val="%7."/>
      <w:lvlJc w:val="left"/>
      <w:pPr>
        <w:ind w:hanging="363" w:left="1297"/>
      </w:pPr>
      <w:rPr>
        <w:rFonts w:hint="default"/>
      </w:rPr>
    </w:lvl>
    <w:lvl w:ilvl="7">
      <w:start w:val="1"/>
      <w:numFmt w:val="lowerLetter"/>
      <w:lvlText w:val="%8."/>
      <w:lvlJc w:val="left"/>
      <w:pPr>
        <w:ind w:hanging="363" w:left="1240"/>
      </w:pPr>
      <w:rPr>
        <w:rFonts w:hint="default"/>
      </w:rPr>
    </w:lvl>
    <w:lvl w:ilvl="8">
      <w:start w:val="1"/>
      <w:numFmt w:val="lowerRoman"/>
      <w:lvlText w:val="%9."/>
      <w:lvlJc w:val="right"/>
      <w:pPr>
        <w:ind w:hanging="363" w:left="1183"/>
      </w:pPr>
      <w:rPr>
        <w:rFonts w:hint="default"/>
      </w:rPr>
    </w:lvl>
  </w:abstractNum>
  <w:abstractNum w15:restartNumberingAfterBreak="0" w:abstractNumId="27">
    <w:nsid w:val="7A2236A5"/>
    <w:multiLevelType w:val="multilevel"/>
    <w:tmpl w:val="074C6544"/>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8">
    <w:nsid w:val="7BAF29D8"/>
    <w:multiLevelType w:val="multilevel"/>
    <w:tmpl w:val="D224509A"/>
    <w:lvl w:ilvl="0">
      <w:start w:val="2"/>
      <w:numFmt w:val="decimal"/>
      <w:lvlText w:val="%1"/>
      <w:lvlJc w:val="left"/>
      <w:pPr>
        <w:ind w:hanging="405" w:left="405"/>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3698"/>
      </w:pPr>
      <w:rPr>
        <w:rFonts w:hint="default"/>
      </w:rPr>
    </w:lvl>
    <w:lvl w:ilvl="3">
      <w:start w:val="1"/>
      <w:numFmt w:val="decimal"/>
      <w:pStyle w:val="TITRE5"/>
      <w:lvlText w:val="%1.%2.%3.%4"/>
      <w:lvlJc w:val="left"/>
      <w:pPr>
        <w:ind w:hanging="1080" w:left="5475"/>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29">
    <w:nsid w:val="7E55679D"/>
    <w:multiLevelType w:val="hybridMultilevel"/>
    <w:tmpl w:val="81BEDF40"/>
    <w:lvl w:ilvl="0" w:tplc="04090007">
      <w:start w:val="1"/>
      <w:numFmt w:val="bullet"/>
      <w:lvlText w:val=""/>
      <w:lvlPicBulletId w:val="0"/>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28"/>
  </w:num>
  <w:num w:numId="2">
    <w:abstractNumId w:val="2"/>
  </w:num>
  <w:num w:numId="3">
    <w:abstractNumId w:val="24"/>
  </w:num>
  <w:num w:numId="4">
    <w:abstractNumId w:val="18"/>
  </w:num>
  <w:num w:numId="5">
    <w:abstractNumId w:val="15"/>
  </w:num>
  <w:num w:numId="6">
    <w:abstractNumId w:val="7"/>
  </w:num>
  <w:num w:numId="7">
    <w:abstractNumId w:val="26"/>
  </w:num>
  <w:num w:numId="8">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9">
    <w:abstractNumId w:val="11"/>
  </w:num>
  <w:num w:numId="10">
    <w:abstractNumId w:val="4"/>
  </w:num>
  <w:num w:numId="11">
    <w:abstractNumId w:val="22"/>
  </w:num>
  <w:num w:numId="12">
    <w:abstractNumId w:val="12"/>
  </w:num>
  <w:num w:numId="13">
    <w:abstractNumId w:val="5"/>
  </w:num>
  <w:num w:numId="14">
    <w:abstractNumId w:val="27"/>
  </w:num>
  <w:num w:numId="15">
    <w:abstractNumId w:val="23"/>
  </w:num>
  <w:num w:numId="16">
    <w:abstractNumId w:val="13"/>
  </w:num>
  <w:num w:numId="17">
    <w:abstractNumId w:val="0"/>
  </w:num>
  <w:num w:numId="18">
    <w:abstractNumId w:val="3"/>
  </w:num>
  <w:num w:numId="19">
    <w:abstractNumId w:val="16"/>
  </w:num>
  <w:num w:numId="20">
    <w:abstractNumId w:val="1"/>
  </w:num>
  <w:num w:numId="21">
    <w:abstractNumId w:val="8"/>
  </w:num>
  <w:num w:numId="22">
    <w:abstractNumId w:val="14"/>
  </w:num>
  <w:num w:numId="23">
    <w:abstractNumId w:val="17"/>
  </w:num>
  <w:num w:numId="24">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25">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26">
    <w:abstractNumId w:val="19"/>
  </w:num>
  <w:num w:numId="27">
    <w:abstractNumId w:val="20"/>
  </w:num>
  <w:num w:numId="28">
    <w:abstractNumId w:val="25"/>
  </w:num>
  <w:num w:numId="29">
    <w:abstractNumId w:val="10"/>
  </w:num>
  <w:num w:numId="30">
    <w:abstractNumId w:val="9"/>
  </w:num>
  <w:num w:numId="31">
    <w:abstractNumId w:val="21"/>
  </w:num>
  <w:num w:numId="32">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3">
    <w:abstractNumId w:val="6"/>
    <w:lvlOverride w:ilvl="0">
      <w:startOverride w:val="1"/>
      <w:lvl w:ilvl="0">
        <w:start w:val="1"/>
        <w:numFmt w:val="upperRoman"/>
        <w:pStyle w:val="Titre2"/>
        <w:lvlText w:val="%1-"/>
        <w:lvlJc w:val="center"/>
        <w:pPr>
          <w:ind w:hanging="363" w:left="1781"/>
        </w:pPr>
        <w:rPr>
          <w:rFonts w:hint="default"/>
        </w:rPr>
      </w:lvl>
    </w:lvlOverride>
    <w:lvlOverride w:ilvl="1">
      <w:startOverride w:val="1"/>
      <w:lvl w:ilvl="1">
        <w:start w:val="1"/>
        <w:numFmt w:val="decimal"/>
        <w:pStyle w:val="Titre30"/>
        <w:lvlText w:val="%1-%2."/>
        <w:lvlJc w:val="left"/>
        <w:pPr>
          <w:ind w:hanging="164" w:left="1582"/>
        </w:pPr>
        <w:rPr>
          <w:rFonts w:hint="default"/>
        </w:rPr>
      </w:lvl>
    </w:lvlOverride>
    <w:lvlOverride w:ilvl="2">
      <w:startOverride w:val="1"/>
      <w:lvl w:ilvl="2">
        <w:start w:val="1"/>
        <w:numFmt w:val="decimal"/>
        <w:pStyle w:val="Titre4"/>
        <w:lvlText w:val="%1-%2-%3."/>
        <w:lvlJc w:val="right"/>
        <w:pPr>
          <w:tabs>
            <w:tab w:pos="2552" w:val="num"/>
          </w:tabs>
          <w:ind w:firstLine="1027" w:left="1525"/>
        </w:pPr>
        <w:rPr>
          <w:rFonts w:hint="default"/>
        </w:rPr>
      </w:lvl>
    </w:lvlOverride>
    <w:lvlOverride w:ilvl="3">
      <w:startOverride w:val="1"/>
      <w:lvl w:ilvl="3">
        <w:start w:val="1"/>
        <w:numFmt w:val="decimal"/>
        <w:lvlText w:val="%4."/>
        <w:lvlJc w:val="left"/>
        <w:pPr>
          <w:ind w:hanging="363" w:left="1468"/>
        </w:pPr>
        <w:rPr>
          <w:rFonts w:hint="default"/>
        </w:rPr>
      </w:lvl>
    </w:lvlOverride>
    <w:lvlOverride w:ilvl="4">
      <w:startOverride w:val="1"/>
      <w:lvl w:ilvl="4">
        <w:start w:val="1"/>
        <w:numFmt w:val="lowerLetter"/>
        <w:lvlText w:val="%5."/>
        <w:lvlJc w:val="left"/>
        <w:pPr>
          <w:ind w:hanging="363" w:left="1411"/>
        </w:pPr>
        <w:rPr>
          <w:rFonts w:hint="default"/>
        </w:rPr>
      </w:lvl>
    </w:lvlOverride>
    <w:lvlOverride w:ilvl="5">
      <w:startOverride w:val="1"/>
      <w:lvl w:ilvl="5">
        <w:start w:val="1"/>
        <w:numFmt w:val="lowerRoman"/>
        <w:lvlText w:val="%6."/>
        <w:lvlJc w:val="right"/>
        <w:pPr>
          <w:ind w:hanging="363" w:left="1354"/>
        </w:pPr>
        <w:rPr>
          <w:rFonts w:hint="default"/>
        </w:rPr>
      </w:lvl>
    </w:lvlOverride>
    <w:lvlOverride w:ilvl="6">
      <w:startOverride w:val="1"/>
      <w:lvl w:ilvl="6">
        <w:start w:val="1"/>
        <w:numFmt w:val="decimal"/>
        <w:lvlText w:val="%7."/>
        <w:lvlJc w:val="left"/>
        <w:pPr>
          <w:ind w:hanging="363" w:left="1297"/>
        </w:pPr>
        <w:rPr>
          <w:rFonts w:hint="default"/>
        </w:rPr>
      </w:lvl>
    </w:lvlOverride>
    <w:lvlOverride w:ilvl="7">
      <w:startOverride w:val="1"/>
      <w:lvl w:ilvl="7">
        <w:start w:val="1"/>
        <w:numFmt w:val="lowerLetter"/>
        <w:lvlText w:val="%8."/>
        <w:lvlJc w:val="left"/>
        <w:pPr>
          <w:ind w:hanging="363" w:left="1240"/>
        </w:pPr>
        <w:rPr>
          <w:rFonts w:hint="default"/>
        </w:rPr>
      </w:lvl>
    </w:lvlOverride>
    <w:lvlOverride w:ilvl="8">
      <w:startOverride w:val="1"/>
      <w:lvl w:ilvl="8">
        <w:start w:val="1"/>
        <w:numFmt w:val="lowerRoman"/>
        <w:lvlText w:val="%9."/>
        <w:lvlJc w:val="right"/>
        <w:pPr>
          <w:ind w:hanging="363" w:left="1183"/>
        </w:pPr>
        <w:rPr>
          <w:rFonts w:hint="default"/>
        </w:rPr>
      </w:lvl>
    </w:lvlOverride>
  </w:num>
  <w:num w:numId="34">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5">
    <w:abstractNumId w:val="29"/>
  </w:num>
  <w:num w:numId="36">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7">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8">
    <w:abstractNumId w:val="6"/>
    <w:lvlOverride w:ilvl="0">
      <w:startOverride w:val="1"/>
      <w:lvl w:ilvl="0">
        <w:start w:val="1"/>
        <w:numFmt w:val="upperRoman"/>
        <w:pStyle w:val="Titre2"/>
        <w:lvlText w:val="%1-"/>
        <w:lvlJc w:val="center"/>
        <w:pPr>
          <w:ind w:hanging="363" w:left="1781"/>
        </w:pPr>
        <w:rPr>
          <w:rFonts w:hint="default"/>
        </w:rPr>
      </w:lvl>
    </w:lvlOverride>
    <w:lvlOverride w:ilvl="1">
      <w:startOverride w:val="1"/>
      <w:lvl w:ilvl="1">
        <w:start w:val="1"/>
        <w:numFmt w:val="decimal"/>
        <w:pStyle w:val="Titre30"/>
        <w:lvlText w:val="%1-%2."/>
        <w:lvlJc w:val="left"/>
        <w:pPr>
          <w:ind w:hanging="164" w:left="1582"/>
        </w:pPr>
        <w:rPr>
          <w:rFonts w:hint="default"/>
        </w:rPr>
      </w:lvl>
    </w:lvlOverride>
    <w:lvlOverride w:ilvl="2">
      <w:startOverride w:val="1"/>
      <w:lvl w:ilvl="2">
        <w:start w:val="1"/>
        <w:numFmt w:val="decimal"/>
        <w:pStyle w:val="Titre4"/>
        <w:lvlText w:val="%1-%2-%3."/>
        <w:lvlJc w:val="right"/>
        <w:pPr>
          <w:tabs>
            <w:tab w:pos="2552" w:val="num"/>
          </w:tabs>
          <w:ind w:firstLine="1027" w:left="1525"/>
        </w:pPr>
        <w:rPr>
          <w:rFonts w:hint="default"/>
        </w:rPr>
      </w:lvl>
    </w:lvlOverride>
    <w:lvlOverride w:ilvl="3">
      <w:startOverride w:val="1"/>
      <w:lvl w:ilvl="3">
        <w:start w:val="1"/>
        <w:numFmt w:val="decimal"/>
        <w:lvlText w:val="%4."/>
        <w:lvlJc w:val="left"/>
        <w:pPr>
          <w:ind w:hanging="363" w:left="1468"/>
        </w:pPr>
        <w:rPr>
          <w:rFonts w:hint="default"/>
        </w:rPr>
      </w:lvl>
    </w:lvlOverride>
    <w:lvlOverride w:ilvl="4">
      <w:startOverride w:val="1"/>
      <w:lvl w:ilvl="4">
        <w:start w:val="1"/>
        <w:numFmt w:val="lowerLetter"/>
        <w:lvlText w:val="%5."/>
        <w:lvlJc w:val="left"/>
        <w:pPr>
          <w:ind w:hanging="363" w:left="1411"/>
        </w:pPr>
        <w:rPr>
          <w:rFonts w:hint="default"/>
        </w:rPr>
      </w:lvl>
    </w:lvlOverride>
    <w:lvlOverride w:ilvl="5">
      <w:startOverride w:val="1"/>
      <w:lvl w:ilvl="5">
        <w:start w:val="1"/>
        <w:numFmt w:val="lowerRoman"/>
        <w:lvlText w:val="%6."/>
        <w:lvlJc w:val="right"/>
        <w:pPr>
          <w:ind w:hanging="363" w:left="1354"/>
        </w:pPr>
        <w:rPr>
          <w:rFonts w:hint="default"/>
        </w:rPr>
      </w:lvl>
    </w:lvlOverride>
    <w:lvlOverride w:ilvl="6">
      <w:startOverride w:val="1"/>
      <w:lvl w:ilvl="6">
        <w:start w:val="1"/>
        <w:numFmt w:val="decimal"/>
        <w:lvlText w:val="%7."/>
        <w:lvlJc w:val="left"/>
        <w:pPr>
          <w:ind w:hanging="363" w:left="1297"/>
        </w:pPr>
        <w:rPr>
          <w:rFonts w:hint="default"/>
        </w:rPr>
      </w:lvl>
    </w:lvlOverride>
    <w:lvlOverride w:ilvl="7">
      <w:startOverride w:val="1"/>
      <w:lvl w:ilvl="7">
        <w:start w:val="1"/>
        <w:numFmt w:val="lowerLetter"/>
        <w:lvlText w:val="%8."/>
        <w:lvlJc w:val="left"/>
        <w:pPr>
          <w:ind w:hanging="363" w:left="1240"/>
        </w:pPr>
        <w:rPr>
          <w:rFonts w:hint="default"/>
        </w:rPr>
      </w:lvl>
    </w:lvlOverride>
    <w:lvlOverride w:ilvl="8">
      <w:startOverride w:val="1"/>
      <w:lvl w:ilvl="8">
        <w:start w:val="1"/>
        <w:numFmt w:val="lowerRoman"/>
        <w:lvlText w:val="%9."/>
        <w:lvlJc w:val="right"/>
        <w:pPr>
          <w:ind w:hanging="363" w:left="1183"/>
        </w:pPr>
        <w:rPr>
          <w:rFonts w:hint="default"/>
        </w:rPr>
      </w:lvl>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35A5A"/>
    <w:pPr>
      <w:spacing w:after="0" w:line="360" w:lineRule="auto"/>
      <w:jc w:val="both"/>
    </w:pPr>
    <w:rPr>
      <w:rFonts w:ascii="Times New Roman" w:hAnsi="Times New Roman"/>
      <w:sz w:val="24"/>
      <w:lang w:val="fr-FR"/>
    </w:rPr>
  </w:style>
  <w:style w:styleId="Titre1" w:type="paragraph">
    <w:name w:val="heading 1"/>
    <w:basedOn w:val="Normal"/>
    <w:next w:val="Normal"/>
    <w:link w:val="Titre1Car"/>
    <w:uiPriority w:val="9"/>
    <w:qFormat/>
    <w:rsid w:val="006126FA"/>
    <w:pPr>
      <w:keepNext/>
      <w:keepLines/>
      <w:pBdr>
        <w:top w:color="auto" w:space="1" w:sz="24" w:val="thinThickThinMediumGap"/>
        <w:bottom w:color="auto" w:space="1" w:sz="24" w:val="thinThickThinMediumGap"/>
      </w:pBdr>
      <w:shd w:color="auto" w:fill="auto" w:val="pct5"/>
      <w:spacing w:after="480"/>
      <w:jc w:val="center"/>
      <w:outlineLvl w:val="0"/>
    </w:pPr>
    <w:rPr>
      <w:rFonts w:cstheme="majorBidi" w:eastAsiaTheme="majorEastAsia"/>
      <w:b/>
      <w:color w:themeColor="accent1" w:themeShade="80" w:val="1F4E79"/>
      <w:sz w:val="36"/>
      <w:szCs w:val="32"/>
    </w:rPr>
  </w:style>
  <w:style w:styleId="Titre2" w:type="paragraph">
    <w:name w:val="heading 2"/>
    <w:basedOn w:val="Normal"/>
    <w:next w:val="Normal"/>
    <w:link w:val="Titre2Car"/>
    <w:uiPriority w:val="9"/>
    <w:unhideWhenUsed/>
    <w:qFormat/>
    <w:rsid w:val="004F5F3F"/>
    <w:pPr>
      <w:keepNext/>
      <w:keepLines/>
      <w:numPr>
        <w:numId w:val="8"/>
      </w:numPr>
      <w:spacing w:after="120" w:before="240"/>
      <w:ind w:left="363"/>
      <w:outlineLvl w:val="1"/>
    </w:pPr>
    <w:rPr>
      <w:rFonts w:cstheme="majorBidi" w:eastAsiaTheme="majorEastAsia"/>
      <w:b/>
      <w:color w:themeColor="accent1" w:themeShade="80" w:val="1F4E79"/>
      <w:sz w:val="40"/>
      <w:szCs w:val="26"/>
    </w:rPr>
  </w:style>
  <w:style w:styleId="Titre30" w:type="paragraph">
    <w:name w:val="heading 3"/>
    <w:basedOn w:val="Titre2"/>
    <w:next w:val="Titre4"/>
    <w:link w:val="Titre3Car"/>
    <w:uiPriority w:val="9"/>
    <w:unhideWhenUsed/>
    <w:qFormat/>
    <w:rsid w:val="008719C8"/>
    <w:pPr>
      <w:numPr>
        <w:ilvl w:val="1"/>
      </w:numPr>
      <w:spacing w:before="0" w:line="240" w:lineRule="auto"/>
      <w:ind w:left="2432"/>
      <w:jc w:val="left"/>
      <w:outlineLvl w:val="2"/>
    </w:pPr>
    <w:rPr>
      <w:color w:val="00B0F0"/>
      <w:sz w:val="36"/>
      <w:szCs w:val="24"/>
    </w:rPr>
  </w:style>
  <w:style w:styleId="Titre4" w:type="paragraph">
    <w:name w:val="heading 4"/>
    <w:basedOn w:val="Normal"/>
    <w:next w:val="Normal"/>
    <w:link w:val="Titre4Car"/>
    <w:uiPriority w:val="9"/>
    <w:unhideWhenUsed/>
    <w:qFormat/>
    <w:rsid w:val="006868F2"/>
    <w:pPr>
      <w:keepNext/>
      <w:keepLines/>
      <w:numPr>
        <w:ilvl w:val="2"/>
        <w:numId w:val="8"/>
      </w:numPr>
      <w:tabs>
        <w:tab w:pos="2552" w:val="clear"/>
      </w:tabs>
      <w:spacing w:before="40"/>
      <w:ind w:firstLine="3969" w:left="0"/>
      <w:jc w:val="center"/>
      <w:outlineLvl w:val="3"/>
    </w:pPr>
    <w:rPr>
      <w:rFonts w:cstheme="majorBidi" w:eastAsiaTheme="majorEastAsia"/>
      <w:b/>
      <w:iCs/>
      <w:color w:themeColor="accent1" w:themeShade="BF" w:val="2E74B5"/>
      <w:sz w:val="32"/>
    </w:rPr>
  </w:style>
  <w:style w:styleId="Titre50" w:type="paragraph">
    <w:name w:val="heading 5"/>
    <w:basedOn w:val="Normal"/>
    <w:next w:val="Normal"/>
    <w:link w:val="Titre5Car"/>
    <w:uiPriority w:val="9"/>
    <w:unhideWhenUsed/>
    <w:qFormat/>
    <w:rsid w:val="006126FA"/>
    <w:pPr>
      <w:keepNext/>
      <w:keepLines/>
      <w:spacing w:before="40"/>
      <w:outlineLvl w:val="4"/>
    </w:pPr>
    <w:rPr>
      <w:rFonts w:cstheme="majorBidi" w:eastAsiaTheme="majorEastAsia"/>
      <w:color w:themeColor="accent1" w:themeShade="BF" w:val="2E74B5"/>
    </w:rPr>
  </w:style>
  <w:style w:styleId="Titre6" w:type="paragraph">
    <w:name w:val="heading 6"/>
    <w:basedOn w:val="Normal"/>
    <w:next w:val="Normal"/>
    <w:link w:val="Titre6Car"/>
    <w:uiPriority w:val="9"/>
    <w:semiHidden/>
    <w:unhideWhenUsed/>
    <w:qFormat/>
    <w:rsid w:val="006126FA"/>
    <w:pPr>
      <w:keepNext/>
      <w:keepLines/>
      <w:spacing w:before="40"/>
      <w:outlineLvl w:val="5"/>
    </w:pPr>
    <w:rPr>
      <w:rFonts w:asciiTheme="majorHAnsi" w:cstheme="majorBidi" w:eastAsiaTheme="majorEastAsia" w:hAnsiTheme="majorHAnsi"/>
      <w:color w:themeColor="accent1" w:themeShade="7F" w:val="1F4D78"/>
    </w:rPr>
  </w:style>
  <w:style w:styleId="Titre7" w:type="paragraph">
    <w:name w:val="heading 7"/>
    <w:basedOn w:val="Normal"/>
    <w:next w:val="Normal"/>
    <w:link w:val="Titre7Car"/>
    <w:uiPriority w:val="9"/>
    <w:semiHidden/>
    <w:unhideWhenUsed/>
    <w:qFormat/>
    <w:rsid w:val="006126FA"/>
    <w:pPr>
      <w:keepNext/>
      <w:keepLines/>
      <w:spacing w:before="40"/>
      <w:outlineLvl w:val="6"/>
    </w:pPr>
    <w:rPr>
      <w:rFonts w:asciiTheme="majorHAnsi" w:cstheme="majorBidi" w:eastAsiaTheme="majorEastAsia" w:hAnsiTheme="majorHAnsi"/>
      <w:i/>
      <w:iCs/>
      <w:color w:themeColor="accent1" w:themeShade="7F" w:val="1F4D78"/>
    </w:rPr>
  </w:style>
  <w:style w:styleId="Titre8" w:type="paragraph">
    <w:name w:val="heading 8"/>
    <w:basedOn w:val="Normal"/>
    <w:next w:val="Normal"/>
    <w:link w:val="Titre8Car"/>
    <w:uiPriority w:val="9"/>
    <w:semiHidden/>
    <w:unhideWhenUsed/>
    <w:qFormat/>
    <w:rsid w:val="006126FA"/>
    <w:pPr>
      <w:keepNext/>
      <w:keepLines/>
      <w:spacing w:before="40"/>
      <w:outlineLvl w:val="7"/>
    </w:pPr>
    <w:rPr>
      <w:rFonts w:asciiTheme="majorHAnsi" w:cstheme="majorBidi" w:eastAsiaTheme="majorEastAsia" w:hAnsiTheme="majorHAnsi"/>
      <w:color w:themeColor="text1" w:themeTint="D8" w:val="272727"/>
      <w:sz w:val="21"/>
      <w:szCs w:val="21"/>
    </w:rPr>
  </w:style>
  <w:style w:styleId="Titre9" w:type="paragraph">
    <w:name w:val="heading 9"/>
    <w:basedOn w:val="Normal"/>
    <w:next w:val="Normal"/>
    <w:link w:val="Titre9Car"/>
    <w:uiPriority w:val="9"/>
    <w:semiHidden/>
    <w:unhideWhenUsed/>
    <w:qFormat/>
    <w:rsid w:val="006126FA"/>
    <w:pPr>
      <w:keepNext/>
      <w:keepLines/>
      <w:spacing w:before="40"/>
      <w:outlineLvl w:val="8"/>
    </w:pPr>
    <w:rPr>
      <w:rFonts w:asciiTheme="majorHAnsi" w:cstheme="majorBidi" w:eastAsiaTheme="majorEastAsia" w:hAnsiTheme="majorHAnsi"/>
      <w:i/>
      <w:iCs/>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6126FA"/>
    <w:rPr>
      <w:rFonts w:ascii="Times New Roman" w:cstheme="majorBidi" w:eastAsiaTheme="majorEastAsia" w:hAnsi="Times New Roman"/>
      <w:b/>
      <w:color w:themeColor="accent1" w:themeShade="80" w:val="1F4E79"/>
      <w:sz w:val="36"/>
      <w:szCs w:val="32"/>
      <w:shd w:color="auto" w:fill="auto" w:val="pct5"/>
      <w:lang w:val="fr-FR"/>
    </w:rPr>
  </w:style>
  <w:style w:customStyle="1" w:styleId="Titre2Car" w:type="character">
    <w:name w:val="Titre 2 Car"/>
    <w:basedOn w:val="Policepardfaut"/>
    <w:link w:val="Titre2"/>
    <w:uiPriority w:val="9"/>
    <w:rsid w:val="004F5F3F"/>
    <w:rPr>
      <w:rFonts w:ascii="Times New Roman" w:cstheme="majorBidi" w:eastAsiaTheme="majorEastAsia" w:hAnsi="Times New Roman"/>
      <w:b/>
      <w:color w:themeColor="accent1" w:themeShade="80" w:val="1F4E79"/>
      <w:sz w:val="40"/>
      <w:szCs w:val="26"/>
      <w:lang w:val="fr-FR"/>
    </w:rPr>
  </w:style>
  <w:style w:customStyle="1" w:styleId="Titre3Car" w:type="character">
    <w:name w:val="Titre 3 Car"/>
    <w:basedOn w:val="Policepardfaut"/>
    <w:link w:val="Titre30"/>
    <w:uiPriority w:val="9"/>
    <w:rsid w:val="008719C8"/>
    <w:rPr>
      <w:rFonts w:ascii="Times New Roman" w:cstheme="majorBidi" w:eastAsiaTheme="majorEastAsia" w:hAnsi="Times New Roman"/>
      <w:b/>
      <w:color w:val="00B0F0"/>
      <w:sz w:val="36"/>
      <w:szCs w:val="24"/>
      <w:lang w:val="fr-FR"/>
    </w:rPr>
  </w:style>
  <w:style w:customStyle="1" w:styleId="Titre4Car" w:type="character">
    <w:name w:val="Titre 4 Car"/>
    <w:basedOn w:val="Policepardfaut"/>
    <w:link w:val="Titre4"/>
    <w:uiPriority w:val="9"/>
    <w:rsid w:val="006868F2"/>
    <w:rPr>
      <w:rFonts w:ascii="Times New Roman" w:cstheme="majorBidi" w:eastAsiaTheme="majorEastAsia" w:hAnsi="Times New Roman"/>
      <w:b/>
      <w:iCs/>
      <w:color w:themeColor="accent1" w:themeShade="BF" w:val="2E74B5"/>
      <w:sz w:val="32"/>
      <w:lang w:val="fr-FR"/>
    </w:rPr>
  </w:style>
  <w:style w:customStyle="1" w:styleId="Titre5Car" w:type="character">
    <w:name w:val="Titre 5 Car"/>
    <w:basedOn w:val="Policepardfaut"/>
    <w:link w:val="Titre50"/>
    <w:uiPriority w:val="9"/>
    <w:rsid w:val="006126FA"/>
    <w:rPr>
      <w:rFonts w:ascii="Times New Roman" w:cstheme="majorBidi" w:eastAsiaTheme="majorEastAsia" w:hAnsi="Times New Roman"/>
      <w:color w:themeColor="accent1" w:themeShade="BF" w:val="2E74B5"/>
      <w:sz w:val="24"/>
      <w:lang w:val="fr-FR"/>
    </w:rPr>
  </w:style>
  <w:style w:customStyle="1" w:styleId="Titre6Car" w:type="character">
    <w:name w:val="Titre 6 Car"/>
    <w:basedOn w:val="Policepardfaut"/>
    <w:link w:val="Titre6"/>
    <w:uiPriority w:val="9"/>
    <w:semiHidden/>
    <w:rsid w:val="006126FA"/>
    <w:rPr>
      <w:rFonts w:asciiTheme="majorHAnsi" w:cstheme="majorBidi" w:eastAsiaTheme="majorEastAsia" w:hAnsiTheme="majorHAnsi"/>
      <w:color w:themeColor="accent1" w:themeShade="7F" w:val="1F4D78"/>
      <w:sz w:val="24"/>
      <w:lang w:val="fr-FR"/>
    </w:rPr>
  </w:style>
  <w:style w:customStyle="1" w:styleId="Titre7Car" w:type="character">
    <w:name w:val="Titre 7 Car"/>
    <w:basedOn w:val="Policepardfaut"/>
    <w:link w:val="Titre7"/>
    <w:uiPriority w:val="9"/>
    <w:semiHidden/>
    <w:rsid w:val="006126FA"/>
    <w:rPr>
      <w:rFonts w:asciiTheme="majorHAnsi" w:cstheme="majorBidi" w:eastAsiaTheme="majorEastAsia" w:hAnsiTheme="majorHAnsi"/>
      <w:i/>
      <w:iCs/>
      <w:color w:themeColor="accent1" w:themeShade="7F" w:val="1F4D78"/>
      <w:sz w:val="24"/>
      <w:lang w:val="fr-FR"/>
    </w:rPr>
  </w:style>
  <w:style w:customStyle="1" w:styleId="Titre8Car" w:type="character">
    <w:name w:val="Titre 8 Car"/>
    <w:basedOn w:val="Policepardfaut"/>
    <w:link w:val="Titre8"/>
    <w:uiPriority w:val="9"/>
    <w:semiHidden/>
    <w:rsid w:val="006126FA"/>
    <w:rPr>
      <w:rFonts w:asciiTheme="majorHAnsi" w:cstheme="majorBidi" w:eastAsiaTheme="majorEastAsia" w:hAnsiTheme="majorHAnsi"/>
      <w:color w:themeColor="text1" w:themeTint="D8" w:val="272727"/>
      <w:sz w:val="21"/>
      <w:szCs w:val="21"/>
      <w:lang w:val="fr-FR"/>
    </w:rPr>
  </w:style>
  <w:style w:customStyle="1" w:styleId="Titre9Car" w:type="character">
    <w:name w:val="Titre 9 Car"/>
    <w:basedOn w:val="Policepardfaut"/>
    <w:link w:val="Titre9"/>
    <w:uiPriority w:val="9"/>
    <w:semiHidden/>
    <w:rsid w:val="006126FA"/>
    <w:rPr>
      <w:rFonts w:asciiTheme="majorHAnsi" w:cstheme="majorBidi" w:eastAsiaTheme="majorEastAsia" w:hAnsiTheme="majorHAnsi"/>
      <w:i/>
      <w:iCs/>
      <w:color w:themeColor="text1" w:themeTint="D8" w:val="272727"/>
      <w:sz w:val="21"/>
      <w:szCs w:val="21"/>
      <w:lang w:val="fr-FR"/>
    </w:rPr>
  </w:style>
  <w:style w:styleId="Paragraphedeliste" w:type="paragraph">
    <w:name w:val="List Paragraph"/>
    <w:basedOn w:val="Normal"/>
    <w:link w:val="ParagraphedelisteCar"/>
    <w:uiPriority w:val="34"/>
    <w:qFormat/>
    <w:rsid w:val="006126FA"/>
    <w:pPr>
      <w:ind w:left="720"/>
      <w:contextualSpacing/>
    </w:pPr>
  </w:style>
  <w:style w:customStyle="1" w:styleId="ParagraphedelisteCar" w:type="character">
    <w:name w:val="Paragraphe de liste Car"/>
    <w:basedOn w:val="Policepardfaut"/>
    <w:link w:val="Paragraphedeliste"/>
    <w:uiPriority w:val="34"/>
    <w:locked/>
    <w:rsid w:val="006126FA"/>
    <w:rPr>
      <w:rFonts w:ascii="Times New Roman" w:hAnsi="Times New Roman"/>
      <w:sz w:val="24"/>
      <w:lang w:val="fr-FR"/>
    </w:rPr>
  </w:style>
  <w:style w:styleId="En-tte" w:type="paragraph">
    <w:name w:val="header"/>
    <w:basedOn w:val="Normal"/>
    <w:link w:val="En-tteCar"/>
    <w:unhideWhenUsed/>
    <w:rsid w:val="006126FA"/>
    <w:pPr>
      <w:tabs>
        <w:tab w:pos="4536" w:val="center"/>
        <w:tab w:pos="9072" w:val="right"/>
      </w:tabs>
      <w:spacing w:line="240" w:lineRule="auto"/>
    </w:pPr>
  </w:style>
  <w:style w:customStyle="1" w:styleId="En-tteCar" w:type="character">
    <w:name w:val="En-tête Car"/>
    <w:basedOn w:val="Policepardfaut"/>
    <w:link w:val="En-tte"/>
    <w:rsid w:val="006126FA"/>
    <w:rPr>
      <w:rFonts w:ascii="Times New Roman" w:hAnsi="Times New Roman"/>
      <w:sz w:val="24"/>
      <w:lang w:val="fr-FR"/>
    </w:rPr>
  </w:style>
  <w:style w:styleId="Pieddepage" w:type="paragraph">
    <w:name w:val="footer"/>
    <w:basedOn w:val="Normal"/>
    <w:link w:val="PieddepageCar"/>
    <w:uiPriority w:val="99"/>
    <w:unhideWhenUsed/>
    <w:rsid w:val="006126FA"/>
    <w:pPr>
      <w:tabs>
        <w:tab w:pos="4536" w:val="center"/>
        <w:tab w:pos="9072" w:val="right"/>
      </w:tabs>
      <w:spacing w:line="240" w:lineRule="auto"/>
    </w:pPr>
  </w:style>
  <w:style w:customStyle="1" w:styleId="PieddepageCar" w:type="character">
    <w:name w:val="Pied de page Car"/>
    <w:basedOn w:val="Policepardfaut"/>
    <w:link w:val="Pieddepage"/>
    <w:uiPriority w:val="99"/>
    <w:rsid w:val="006126FA"/>
    <w:rPr>
      <w:rFonts w:ascii="Times New Roman" w:hAnsi="Times New Roman"/>
      <w:sz w:val="24"/>
      <w:lang w:val="fr-FR"/>
    </w:rPr>
  </w:style>
  <w:style w:styleId="Notedefin" w:type="paragraph">
    <w:name w:val="endnote text"/>
    <w:basedOn w:val="Normal"/>
    <w:link w:val="NotedefinCar"/>
    <w:uiPriority w:val="99"/>
    <w:semiHidden/>
    <w:unhideWhenUsed/>
    <w:rsid w:val="006126FA"/>
    <w:pPr>
      <w:spacing w:line="240" w:lineRule="auto"/>
    </w:pPr>
    <w:rPr>
      <w:sz w:val="20"/>
      <w:szCs w:val="20"/>
    </w:rPr>
  </w:style>
  <w:style w:customStyle="1" w:styleId="NotedefinCar" w:type="character">
    <w:name w:val="Note de fin Car"/>
    <w:basedOn w:val="Policepardfaut"/>
    <w:link w:val="Notedefin"/>
    <w:uiPriority w:val="99"/>
    <w:semiHidden/>
    <w:rsid w:val="006126FA"/>
    <w:rPr>
      <w:rFonts w:ascii="Times New Roman" w:hAnsi="Times New Roman"/>
      <w:sz w:val="20"/>
      <w:szCs w:val="20"/>
      <w:lang w:val="fr-FR"/>
    </w:rPr>
  </w:style>
  <w:style w:styleId="Appeldenotedefin" w:type="character">
    <w:name w:val="endnote reference"/>
    <w:basedOn w:val="Policepardfaut"/>
    <w:uiPriority w:val="99"/>
    <w:semiHidden/>
    <w:unhideWhenUsed/>
    <w:rsid w:val="006126FA"/>
    <w:rPr>
      <w:vertAlign w:val="superscript"/>
    </w:rPr>
  </w:style>
  <w:style w:styleId="Notedebasdepage" w:type="paragraph">
    <w:name w:val="footnote text"/>
    <w:basedOn w:val="Normal"/>
    <w:link w:val="NotedebasdepageCar"/>
    <w:uiPriority w:val="99"/>
    <w:semiHidden/>
    <w:unhideWhenUsed/>
    <w:rsid w:val="006126FA"/>
    <w:pPr>
      <w:spacing w:line="240" w:lineRule="auto"/>
    </w:pPr>
    <w:rPr>
      <w:sz w:val="20"/>
      <w:szCs w:val="20"/>
    </w:rPr>
  </w:style>
  <w:style w:customStyle="1" w:styleId="NotedebasdepageCar" w:type="character">
    <w:name w:val="Note de bas de page Car"/>
    <w:basedOn w:val="Policepardfaut"/>
    <w:link w:val="Notedebasdepage"/>
    <w:uiPriority w:val="99"/>
    <w:semiHidden/>
    <w:rsid w:val="006126FA"/>
    <w:rPr>
      <w:rFonts w:ascii="Times New Roman" w:hAnsi="Times New Roman"/>
      <w:sz w:val="20"/>
      <w:szCs w:val="20"/>
      <w:lang w:val="fr-FR"/>
    </w:rPr>
  </w:style>
  <w:style w:styleId="Appelnotedebasdep" w:type="character">
    <w:name w:val="footnote reference"/>
    <w:basedOn w:val="Policepardfaut"/>
    <w:uiPriority w:val="99"/>
    <w:semiHidden/>
    <w:unhideWhenUsed/>
    <w:rsid w:val="006126FA"/>
    <w:rPr>
      <w:vertAlign w:val="superscript"/>
    </w:rPr>
  </w:style>
  <w:style w:customStyle="1" w:styleId="Grilledutableau1" w:type="table">
    <w:name w:val="Grille du tableau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lledutableau" w:type="table">
    <w:name w:val="Table Grid"/>
    <w:basedOn w:val="TableauNormal"/>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 w:type="table">
    <w:name w:val="Grille du tableau1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lespacerserv" w:type="character">
    <w:name w:val="Placeholder Text"/>
    <w:basedOn w:val="Policepardfaut"/>
    <w:uiPriority w:val="99"/>
    <w:semiHidden/>
    <w:rsid w:val="006126FA"/>
    <w:rPr>
      <w:color w:val="808080"/>
    </w:rPr>
  </w:style>
  <w:style w:styleId="Lgende" w:type="paragraph">
    <w:name w:val="caption"/>
    <w:basedOn w:val="Normal"/>
    <w:next w:val="Normal"/>
    <w:uiPriority w:val="35"/>
    <w:unhideWhenUsed/>
    <w:qFormat/>
    <w:rsid w:val="00C35BF5"/>
    <w:pPr>
      <w:spacing w:line="240" w:lineRule="auto"/>
      <w:jc w:val="center"/>
    </w:pPr>
    <w:rPr>
      <w:b/>
      <w:iCs/>
      <w:color w:themeColor="text2" w:val="44546A"/>
      <w:szCs w:val="18"/>
    </w:rPr>
  </w:style>
  <w:style w:styleId="Tabledesillustrations" w:type="paragraph">
    <w:name w:val="table of figures"/>
    <w:basedOn w:val="Normal"/>
    <w:next w:val="Normal"/>
    <w:uiPriority w:val="99"/>
    <w:unhideWhenUsed/>
    <w:rsid w:val="006126FA"/>
  </w:style>
  <w:style w:styleId="Lienhypertexte" w:type="character">
    <w:name w:val="Hyperlink"/>
    <w:basedOn w:val="Policepardfaut"/>
    <w:uiPriority w:val="99"/>
    <w:unhideWhenUsed/>
    <w:rsid w:val="006126FA"/>
    <w:rPr>
      <w:color w:themeColor="hyperlink" w:val="0563C1"/>
      <w:u w:val="single"/>
    </w:rPr>
  </w:style>
  <w:style w:styleId="TM1" w:type="paragraph">
    <w:name w:val="toc 1"/>
    <w:basedOn w:val="Normal"/>
    <w:next w:val="Normal"/>
    <w:autoRedefine/>
    <w:uiPriority w:val="39"/>
    <w:unhideWhenUsed/>
    <w:rsid w:val="006126FA"/>
    <w:pPr>
      <w:spacing w:after="100"/>
    </w:pPr>
  </w:style>
  <w:style w:styleId="Sansinterligne" w:type="paragraph">
    <w:name w:val="No Spacing"/>
    <w:uiPriority w:val="1"/>
    <w:qFormat/>
    <w:rsid w:val="006126FA"/>
    <w:pPr>
      <w:spacing w:after="240" w:before="240" w:line="240" w:lineRule="auto"/>
    </w:pPr>
    <w:rPr>
      <w:rFonts w:ascii="Times New Roman" w:hAnsi="Times New Roman"/>
      <w:b/>
      <w:sz w:val="32"/>
      <w:lang w:val="fr-FR"/>
    </w:rPr>
  </w:style>
  <w:style w:styleId="TM2" w:type="paragraph">
    <w:name w:val="toc 2"/>
    <w:basedOn w:val="Normal"/>
    <w:next w:val="Normal"/>
    <w:autoRedefine/>
    <w:uiPriority w:val="39"/>
    <w:unhideWhenUsed/>
    <w:rsid w:val="006126FA"/>
    <w:pPr>
      <w:tabs>
        <w:tab w:pos="880" w:val="left"/>
        <w:tab w:leader="dot" w:pos="9062" w:val="right"/>
      </w:tabs>
      <w:spacing w:after="100" w:line="276" w:lineRule="auto"/>
      <w:ind w:left="240"/>
    </w:pPr>
  </w:style>
  <w:style w:styleId="TM3" w:type="paragraph">
    <w:name w:val="toc 3"/>
    <w:basedOn w:val="Normal"/>
    <w:next w:val="Normal"/>
    <w:autoRedefine/>
    <w:uiPriority w:val="39"/>
    <w:unhideWhenUsed/>
    <w:rsid w:val="006126FA"/>
    <w:pPr>
      <w:spacing w:after="100"/>
      <w:ind w:left="480"/>
    </w:pPr>
  </w:style>
  <w:style w:customStyle="1" w:styleId="Aucuneliste1" w:type="numbering">
    <w:name w:val="Aucune liste1"/>
    <w:next w:val="Aucuneliste"/>
    <w:uiPriority w:val="99"/>
    <w:semiHidden/>
    <w:unhideWhenUsed/>
    <w:rsid w:val="006126FA"/>
  </w:style>
  <w:style w:styleId="Corpsdetexte" w:type="paragraph">
    <w:name w:val="Body Text"/>
    <w:basedOn w:val="Normal"/>
    <w:link w:val="CorpsdetexteCar"/>
    <w:rsid w:val="006126FA"/>
    <w:pPr>
      <w:spacing w:line="240" w:lineRule="auto"/>
    </w:pPr>
    <w:rPr>
      <w:rFonts w:cs="Times New Roman" w:eastAsia="Times New Roman"/>
      <w:bCs/>
      <w:color w:val="0000FF"/>
      <w:szCs w:val="24"/>
      <w:lang w:eastAsia="fr-FR" w:val="fr-CM"/>
    </w:rPr>
  </w:style>
  <w:style w:customStyle="1" w:styleId="CorpsdetexteCar" w:type="character">
    <w:name w:val="Corps de texte Car"/>
    <w:basedOn w:val="Policepardfaut"/>
    <w:link w:val="Corpsdetexte"/>
    <w:rsid w:val="006126FA"/>
    <w:rPr>
      <w:rFonts w:ascii="Times New Roman" w:cs="Times New Roman" w:eastAsia="Times New Roman" w:hAnsi="Times New Roman"/>
      <w:bCs/>
      <w:color w:val="0000FF"/>
      <w:sz w:val="24"/>
      <w:szCs w:val="24"/>
      <w:lang w:eastAsia="fr-FR" w:val="fr-CM"/>
    </w:rPr>
  </w:style>
  <w:style w:styleId="Textedebulles" w:type="paragraph">
    <w:name w:val="Balloon Text"/>
    <w:basedOn w:val="Normal"/>
    <w:link w:val="TextedebullesCar"/>
    <w:uiPriority w:val="99"/>
    <w:semiHidden/>
    <w:unhideWhenUsed/>
    <w:rsid w:val="006126FA"/>
    <w:pPr>
      <w:spacing w:line="240" w:lineRule="auto"/>
    </w:pPr>
    <w:rPr>
      <w:rFonts w:ascii="Tahoma" w:cs="Tahoma" w:eastAsia="Times New Roman" w:hAnsi="Tahoma"/>
      <w:sz w:val="16"/>
      <w:szCs w:val="16"/>
      <w:lang w:eastAsia="fr-FR"/>
    </w:rPr>
  </w:style>
  <w:style w:customStyle="1" w:styleId="TextedebullesCar" w:type="character">
    <w:name w:val="Texte de bulles Car"/>
    <w:basedOn w:val="Policepardfaut"/>
    <w:link w:val="Textedebulles"/>
    <w:uiPriority w:val="99"/>
    <w:semiHidden/>
    <w:rsid w:val="006126FA"/>
    <w:rPr>
      <w:rFonts w:ascii="Tahoma" w:cs="Tahoma" w:eastAsia="Times New Roman" w:hAnsi="Tahoma"/>
      <w:sz w:val="16"/>
      <w:szCs w:val="16"/>
      <w:lang w:eastAsia="fr-FR" w:val="fr-FR"/>
    </w:rPr>
  </w:style>
  <w:style w:customStyle="1" w:styleId="Grilledutableau2" w:type="table">
    <w:name w:val="Grille du tableau2"/>
    <w:basedOn w:val="TableauNormal"/>
    <w:next w:val="Grilledutableau"/>
    <w:uiPriority w:val="5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1" w:type="table">
    <w:name w:val="Grille du tableau11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UnresolvedMention1" w:type="character">
    <w:name w:val="Unresolved Mention1"/>
    <w:basedOn w:val="Policepardfaut"/>
    <w:uiPriority w:val="99"/>
    <w:semiHidden/>
    <w:unhideWhenUsed/>
    <w:rsid w:val="006126FA"/>
    <w:rPr>
      <w:color w:val="605E5C"/>
      <w:shd w:color="auto" w:fill="E1DFDD" w:val="clear"/>
    </w:rPr>
  </w:style>
  <w:style w:styleId="En-ttedetabledesmatires" w:type="paragraph">
    <w:name w:val="TOC Heading"/>
    <w:basedOn w:val="Titre1"/>
    <w:next w:val="Normal"/>
    <w:uiPriority w:val="39"/>
    <w:unhideWhenUsed/>
    <w:qFormat/>
    <w:rsid w:val="006126FA"/>
    <w:pPr>
      <w:pBdr>
        <w:top w:color="auto" w:space="0" w:sz="0" w:val="none"/>
        <w:bottom w:color="auto" w:space="0" w:sz="0" w:val="none"/>
      </w:pBdr>
      <w:shd w:color="auto" w:fill="auto" w:val="clear"/>
      <w:spacing w:after="0" w:before="240" w:line="259" w:lineRule="auto"/>
      <w:jc w:val="left"/>
      <w:outlineLvl w:val="9"/>
    </w:pPr>
    <w:rPr>
      <w:rFonts w:asciiTheme="majorHAnsi" w:hAnsiTheme="majorHAnsi"/>
      <w:b w:val="0"/>
      <w:color w:themeColor="accent1" w:themeShade="BF" w:val="2E74B5"/>
      <w:sz w:val="32"/>
      <w:lang w:val="en-US"/>
    </w:rPr>
  </w:style>
  <w:style w:styleId="TM4" w:type="paragraph">
    <w:name w:val="toc 4"/>
    <w:basedOn w:val="Normal"/>
    <w:next w:val="Normal"/>
    <w:autoRedefine/>
    <w:uiPriority w:val="39"/>
    <w:unhideWhenUsed/>
    <w:rsid w:val="006126FA"/>
    <w:pPr>
      <w:spacing w:after="100"/>
      <w:ind w:left="720"/>
    </w:pPr>
  </w:style>
  <w:style w:styleId="NormalWeb" w:type="paragraph">
    <w:name w:val="Normal (Web)"/>
    <w:basedOn w:val="Normal"/>
    <w:uiPriority w:val="99"/>
    <w:unhideWhenUsed/>
    <w:rsid w:val="006126FA"/>
    <w:pPr>
      <w:spacing w:after="100" w:afterAutospacing="1" w:before="100" w:beforeAutospacing="1" w:line="240" w:lineRule="auto"/>
      <w:jc w:val="left"/>
    </w:pPr>
    <w:rPr>
      <w:rFonts w:cs="Times New Roman" w:eastAsia="Times New Roman"/>
      <w:szCs w:val="24"/>
      <w:lang w:eastAsia="fr-FR"/>
    </w:rPr>
  </w:style>
  <w:style w:styleId="PrformatHTML" w:type="paragraph">
    <w:name w:val="HTML Preformatted"/>
    <w:basedOn w:val="Normal"/>
    <w:link w:val="PrformatHTMLCar"/>
    <w:uiPriority w:val="99"/>
    <w:unhideWhenUsed/>
    <w:rsid w:val="006126FA"/>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line="240" w:lineRule="auto"/>
      <w:jc w:val="left"/>
    </w:pPr>
    <w:rPr>
      <w:rFonts w:ascii="Courier New" w:cs="Courier New" w:eastAsia="Times New Roman" w:hAnsi="Courier New"/>
      <w:sz w:val="20"/>
      <w:szCs w:val="20"/>
      <w:lang w:eastAsia="fr-FR"/>
    </w:rPr>
  </w:style>
  <w:style w:customStyle="1" w:styleId="PrformatHTMLCar" w:type="character">
    <w:name w:val="Préformaté HTML Car"/>
    <w:basedOn w:val="Policepardfaut"/>
    <w:link w:val="PrformatHTML"/>
    <w:uiPriority w:val="99"/>
    <w:rsid w:val="006126FA"/>
    <w:rPr>
      <w:rFonts w:ascii="Courier New" w:cs="Courier New" w:eastAsia="Times New Roman" w:hAnsi="Courier New"/>
      <w:sz w:val="20"/>
      <w:szCs w:val="20"/>
      <w:lang w:eastAsia="fr-FR" w:val="fr-FR"/>
    </w:rPr>
  </w:style>
  <w:style w:customStyle="1" w:styleId="fontstyle01" w:type="character">
    <w:name w:val="fontstyle01"/>
    <w:basedOn w:val="Policepardfaut"/>
    <w:rsid w:val="006126FA"/>
    <w:rPr>
      <w:rFonts w:ascii="CharterBT-Roman" w:hAnsi="CharterBT-Roman" w:hint="default"/>
      <w:b w:val="0"/>
      <w:bCs w:val="0"/>
      <w:i w:val="0"/>
      <w:iCs w:val="0"/>
      <w:color w:val="000000"/>
      <w:sz w:val="20"/>
      <w:szCs w:val="20"/>
    </w:rPr>
  </w:style>
  <w:style w:styleId="lev" w:type="character">
    <w:name w:val="Strong"/>
    <w:basedOn w:val="Policepardfaut"/>
    <w:uiPriority w:val="22"/>
    <w:qFormat/>
    <w:rsid w:val="006126FA"/>
    <w:rPr>
      <w:b/>
      <w:bCs/>
    </w:rPr>
  </w:style>
  <w:style w:styleId="Accentuation" w:type="character">
    <w:name w:val="Emphasis"/>
    <w:basedOn w:val="Policepardfaut"/>
    <w:uiPriority w:val="20"/>
    <w:qFormat/>
    <w:rsid w:val="006126FA"/>
    <w:rPr>
      <w:i/>
      <w:iCs/>
    </w:rPr>
  </w:style>
  <w:style w:customStyle="1" w:styleId="overflow-hidden" w:type="character">
    <w:name w:val="overflow-hidden"/>
    <w:basedOn w:val="Policepardfaut"/>
    <w:rsid w:val="006126FA"/>
  </w:style>
  <w:style w:customStyle="1" w:styleId="TITRE3" w:type="paragraph">
    <w:name w:val="TITRE3'"/>
    <w:basedOn w:val="Titre30"/>
    <w:link w:val="TITRE3Car0"/>
    <w:qFormat/>
    <w:rsid w:val="006126FA"/>
    <w:pPr>
      <w:numPr>
        <w:ilvl w:val="2"/>
        <w:numId w:val="2"/>
      </w:numPr>
      <w:tabs>
        <w:tab w:pos="1277" w:val="left"/>
      </w:tabs>
      <w:ind w:left="720"/>
    </w:pPr>
    <w:rPr>
      <w:rFonts w:cs="Times New Roman"/>
    </w:rPr>
  </w:style>
  <w:style w:customStyle="1" w:styleId="TITRE5" w:type="paragraph">
    <w:name w:val="TITRE5'"/>
    <w:basedOn w:val="TITRE3"/>
    <w:link w:val="TITRE5Car0"/>
    <w:qFormat/>
    <w:rsid w:val="006126FA"/>
    <w:pPr>
      <w:numPr>
        <w:ilvl w:val="3"/>
        <w:numId w:val="1"/>
      </w:numPr>
    </w:pPr>
    <w:rPr>
      <w:color w:val="03C0ED"/>
      <w:sz w:val="26"/>
    </w:rPr>
  </w:style>
  <w:style w:customStyle="1" w:styleId="TITRE3Car0" w:type="character">
    <w:name w:val="TITRE3' Car"/>
    <w:basedOn w:val="Titre3Car"/>
    <w:link w:val="TITRE3"/>
    <w:rsid w:val="006126FA"/>
    <w:rPr>
      <w:rFonts w:ascii="Times New Roman" w:cs="Times New Roman" w:eastAsiaTheme="majorEastAsia" w:hAnsi="Times New Roman"/>
      <w:b/>
      <w:color w:val="00B0F0"/>
      <w:sz w:val="28"/>
      <w:szCs w:val="24"/>
      <w:lang w:val="fr-FR"/>
    </w:rPr>
  </w:style>
  <w:style w:customStyle="1" w:styleId="TITRE5Car0" w:type="character">
    <w:name w:val="TITRE5' Car"/>
    <w:basedOn w:val="Titre3Car"/>
    <w:link w:val="TITRE5"/>
    <w:rsid w:val="006126FA"/>
    <w:rPr>
      <w:rFonts w:ascii="Times New Roman" w:cs="Times New Roman" w:eastAsiaTheme="majorEastAsia" w:hAnsi="Times New Roman"/>
      <w:b/>
      <w:color w:val="03C0ED"/>
      <w:sz w:val="26"/>
      <w:szCs w:val="24"/>
      <w:lang w:val="fr-FR"/>
    </w:rPr>
  </w:style>
  <w:style w:styleId="Marquedecommentaire" w:type="character">
    <w:name w:val="annotation reference"/>
    <w:basedOn w:val="Policepardfaut"/>
    <w:uiPriority w:val="99"/>
    <w:semiHidden/>
    <w:unhideWhenUsed/>
    <w:rsid w:val="006126FA"/>
    <w:rPr>
      <w:sz w:val="16"/>
      <w:szCs w:val="16"/>
    </w:rPr>
  </w:style>
  <w:style w:styleId="Commentaire" w:type="paragraph">
    <w:name w:val="annotation text"/>
    <w:basedOn w:val="Normal"/>
    <w:link w:val="CommentaireCar"/>
    <w:uiPriority w:val="99"/>
    <w:unhideWhenUsed/>
    <w:rsid w:val="006126FA"/>
    <w:pPr>
      <w:spacing w:line="240" w:lineRule="auto"/>
    </w:pPr>
    <w:rPr>
      <w:sz w:val="20"/>
      <w:szCs w:val="20"/>
    </w:rPr>
  </w:style>
  <w:style w:customStyle="1" w:styleId="CommentaireCar" w:type="character">
    <w:name w:val="Commentaire Car"/>
    <w:basedOn w:val="Policepardfaut"/>
    <w:link w:val="Commentaire"/>
    <w:uiPriority w:val="99"/>
    <w:rsid w:val="006126FA"/>
    <w:rPr>
      <w:rFonts w:ascii="Times New Roman" w:hAnsi="Times New Roman"/>
      <w:sz w:val="20"/>
      <w:szCs w:val="20"/>
      <w:lang w:val="fr-FR"/>
    </w:rPr>
  </w:style>
  <w:style w:styleId="Objetducommentaire" w:type="paragraph">
    <w:name w:val="annotation subject"/>
    <w:basedOn w:val="Commentaire"/>
    <w:next w:val="Commentaire"/>
    <w:link w:val="ObjetducommentaireCar"/>
    <w:uiPriority w:val="99"/>
    <w:semiHidden/>
    <w:unhideWhenUsed/>
    <w:rsid w:val="006126FA"/>
    <w:rPr>
      <w:b/>
      <w:bCs/>
    </w:rPr>
  </w:style>
  <w:style w:customStyle="1" w:styleId="ObjetducommentaireCar" w:type="character">
    <w:name w:val="Objet du commentaire Car"/>
    <w:basedOn w:val="CommentaireCar"/>
    <w:link w:val="Objetducommentaire"/>
    <w:uiPriority w:val="99"/>
    <w:semiHidden/>
    <w:rsid w:val="006126FA"/>
    <w:rPr>
      <w:rFonts w:ascii="Times New Roman" w:hAnsi="Times New Roman"/>
      <w:b/>
      <w:bCs/>
      <w:sz w:val="20"/>
      <w:szCs w:val="20"/>
      <w:lang w:val="fr-FR"/>
    </w:rPr>
  </w:style>
  <w:style w:styleId="Rvision" w:type="paragraph">
    <w:name w:val="Revision"/>
    <w:hidden/>
    <w:uiPriority w:val="99"/>
    <w:semiHidden/>
    <w:rsid w:val="006126FA"/>
    <w:pPr>
      <w:spacing w:after="0" w:line="240" w:lineRule="auto"/>
    </w:pPr>
    <w:rPr>
      <w:rFonts w:ascii="Times New Roman" w:hAnsi="Times New Roman"/>
      <w:sz w:val="24"/>
      <w:lang w:val="fr-FR"/>
    </w:rPr>
  </w:style>
  <w:style w:customStyle="1" w:styleId="katex-mathml" w:type="character">
    <w:name w:val="katex-mathml"/>
    <w:basedOn w:val="Policepardfaut"/>
    <w:rsid w:val="006126FA"/>
  </w:style>
  <w:style w:customStyle="1" w:styleId="mord" w:type="character">
    <w:name w:val="mord"/>
    <w:basedOn w:val="Policepardfaut"/>
    <w:rsid w:val="006126FA"/>
  </w:style>
  <w:style w:customStyle="1" w:styleId="mpunct" w:type="character">
    <w:name w:val="mpunct"/>
    <w:basedOn w:val="Policepardfaut"/>
    <w:rsid w:val="006126FA"/>
  </w:style>
  <w:style w:customStyle="1" w:styleId="mbin" w:type="character">
    <w:name w:val="mbin"/>
    <w:basedOn w:val="Policepardfaut"/>
    <w:rsid w:val="006126FA"/>
  </w:style>
  <w:style w:customStyle="1" w:styleId="Style1" w:type="numbering">
    <w:name w:val="Style1"/>
    <w:uiPriority w:val="99"/>
    <w:rsid w:val="006126FA"/>
    <w:pPr>
      <w:numPr>
        <w:numId w:val="3"/>
      </w:numPr>
    </w:pPr>
  </w:style>
  <w:style w:customStyle="1" w:styleId="Style2" w:type="numbering">
    <w:name w:val="Style2"/>
    <w:uiPriority w:val="99"/>
    <w:rsid w:val="006126FA"/>
    <w:pPr>
      <w:numPr>
        <w:numId w:val="4"/>
      </w:numPr>
    </w:pPr>
  </w:style>
  <w:style w:customStyle="1" w:styleId="Style3" w:type="numbering">
    <w:name w:val="Style3"/>
    <w:uiPriority w:val="99"/>
    <w:rsid w:val="006126FA"/>
    <w:pPr>
      <w:numPr>
        <w:numId w:val="5"/>
      </w:numPr>
    </w:pPr>
  </w:style>
  <w:style w:customStyle="1" w:styleId="vlist-s" w:type="character">
    <w:name w:val="vlist-s"/>
    <w:basedOn w:val="Policepardfaut"/>
    <w:rsid w:val="006126FA"/>
  </w:style>
  <w:style w:customStyle="1" w:styleId="mrel" w:type="character">
    <w:name w:val="mrel"/>
    <w:basedOn w:val="Policepardfaut"/>
    <w:rsid w:val="006126FA"/>
  </w:style>
  <w:style w:styleId="Rfrenceple" w:type="character">
    <w:name w:val="Subtle Reference"/>
    <w:basedOn w:val="Policepardfaut"/>
    <w:uiPriority w:val="31"/>
    <w:qFormat/>
    <w:rsid w:val="006126FA"/>
    <w:rPr>
      <w:smallCaps/>
      <w:color w:themeColor="text1" w:themeTint="A5" w:val="5A5A5A"/>
    </w:rPr>
  </w:style>
  <w:style w:styleId="CodeHTML" w:type="character">
    <w:name w:val="HTML Code"/>
    <w:basedOn w:val="Policepardfaut"/>
    <w:uiPriority w:val="99"/>
    <w:semiHidden/>
    <w:unhideWhenUsed/>
    <w:rsid w:val="000A1285"/>
    <w:rPr>
      <w:rFonts w:ascii="Courier New" w:cs="Courier New" w:eastAsia="Times New Roman" w:hAnsi="Courier New"/>
      <w:sz w:val="20"/>
      <w:szCs w:val="20"/>
    </w:rPr>
  </w:style>
  <w:style w:customStyle="1" w:styleId="Style4" w:type="numbering">
    <w:name w:val="Style4"/>
    <w:uiPriority w:val="99"/>
    <w:rsid w:val="001C4AEE"/>
    <w:pPr>
      <w:numPr>
        <w:numId w:val="7"/>
      </w:numPr>
    </w:pPr>
  </w:style>
  <w:style w:customStyle="1" w:styleId="oypena" w:type="character">
    <w:name w:val="oypena"/>
    <w:basedOn w:val="Policepardfaut"/>
    <w:rsid w:val="0006515D"/>
  </w:style>
  <w:style w:customStyle="1" w:styleId="Figure" w:type="paragraph">
    <w:name w:val="Figure"/>
    <w:basedOn w:val="Titre50"/>
    <w:link w:val="FigureCar"/>
    <w:qFormat/>
    <w:rsid w:val="00EF1C29"/>
  </w:style>
  <w:style w:customStyle="1" w:styleId="FigureCar" w:type="character">
    <w:name w:val="Figure Car"/>
    <w:basedOn w:val="Titre5Car"/>
    <w:link w:val="Figure"/>
    <w:rsid w:val="00EF1C29"/>
    <w:rPr>
      <w:rFonts w:ascii="Times New Roman" w:cstheme="majorBidi" w:eastAsiaTheme="majorEastAsia" w:hAnsi="Times New Roman"/>
      <w:color w:themeColor="accent1" w:themeShade="BF" w:val="2E74B5"/>
      <w:sz w:val="24"/>
      <w:lang w:val="fr-FR"/>
    </w:rPr>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944">
      <w:bodyDiv w:val="1"/>
      <w:marLeft w:val="0"/>
      <w:marRight w:val="0"/>
      <w:marTop w:val="0"/>
      <w:marBottom w:val="0"/>
      <w:divBdr>
        <w:top w:val="none" w:sz="0" w:space="0" w:color="auto"/>
        <w:left w:val="none" w:sz="0" w:space="0" w:color="auto"/>
        <w:bottom w:val="none" w:sz="0" w:space="0" w:color="auto"/>
        <w:right w:val="none" w:sz="0" w:space="0" w:color="auto"/>
      </w:divBdr>
    </w:div>
    <w:div w:id="21902039">
      <w:bodyDiv w:val="1"/>
      <w:marLeft w:val="0"/>
      <w:marRight w:val="0"/>
      <w:marTop w:val="0"/>
      <w:marBottom w:val="0"/>
      <w:divBdr>
        <w:top w:val="none" w:sz="0" w:space="0" w:color="auto"/>
        <w:left w:val="none" w:sz="0" w:space="0" w:color="auto"/>
        <w:bottom w:val="none" w:sz="0" w:space="0" w:color="auto"/>
        <w:right w:val="none" w:sz="0" w:space="0" w:color="auto"/>
      </w:divBdr>
    </w:div>
    <w:div w:id="103623883">
      <w:bodyDiv w:val="1"/>
      <w:marLeft w:val="0"/>
      <w:marRight w:val="0"/>
      <w:marTop w:val="0"/>
      <w:marBottom w:val="0"/>
      <w:divBdr>
        <w:top w:val="none" w:sz="0" w:space="0" w:color="auto"/>
        <w:left w:val="none" w:sz="0" w:space="0" w:color="auto"/>
        <w:bottom w:val="none" w:sz="0" w:space="0" w:color="auto"/>
        <w:right w:val="none" w:sz="0" w:space="0" w:color="auto"/>
      </w:divBdr>
    </w:div>
    <w:div w:id="146870776">
      <w:bodyDiv w:val="1"/>
      <w:marLeft w:val="0"/>
      <w:marRight w:val="0"/>
      <w:marTop w:val="0"/>
      <w:marBottom w:val="0"/>
      <w:divBdr>
        <w:top w:val="none" w:sz="0" w:space="0" w:color="auto"/>
        <w:left w:val="none" w:sz="0" w:space="0" w:color="auto"/>
        <w:bottom w:val="none" w:sz="0" w:space="0" w:color="auto"/>
        <w:right w:val="none" w:sz="0" w:space="0" w:color="auto"/>
      </w:divBdr>
    </w:div>
    <w:div w:id="157891141">
      <w:bodyDiv w:val="1"/>
      <w:marLeft w:val="0"/>
      <w:marRight w:val="0"/>
      <w:marTop w:val="0"/>
      <w:marBottom w:val="0"/>
      <w:divBdr>
        <w:top w:val="none" w:sz="0" w:space="0" w:color="auto"/>
        <w:left w:val="none" w:sz="0" w:space="0" w:color="auto"/>
        <w:bottom w:val="none" w:sz="0" w:space="0" w:color="auto"/>
        <w:right w:val="none" w:sz="0" w:space="0" w:color="auto"/>
      </w:divBdr>
    </w:div>
    <w:div w:id="167452059">
      <w:bodyDiv w:val="1"/>
      <w:marLeft w:val="0"/>
      <w:marRight w:val="0"/>
      <w:marTop w:val="0"/>
      <w:marBottom w:val="0"/>
      <w:divBdr>
        <w:top w:val="none" w:sz="0" w:space="0" w:color="auto"/>
        <w:left w:val="none" w:sz="0" w:space="0" w:color="auto"/>
        <w:bottom w:val="none" w:sz="0" w:space="0" w:color="auto"/>
        <w:right w:val="none" w:sz="0" w:space="0" w:color="auto"/>
      </w:divBdr>
    </w:div>
    <w:div w:id="206377668">
      <w:bodyDiv w:val="1"/>
      <w:marLeft w:val="0"/>
      <w:marRight w:val="0"/>
      <w:marTop w:val="0"/>
      <w:marBottom w:val="0"/>
      <w:divBdr>
        <w:top w:val="none" w:sz="0" w:space="0" w:color="auto"/>
        <w:left w:val="none" w:sz="0" w:space="0" w:color="auto"/>
        <w:bottom w:val="none" w:sz="0" w:space="0" w:color="auto"/>
        <w:right w:val="none" w:sz="0" w:space="0" w:color="auto"/>
      </w:divBdr>
      <w:divsChild>
        <w:div w:id="509610035">
          <w:marLeft w:val="0"/>
          <w:marRight w:val="0"/>
          <w:marTop w:val="0"/>
          <w:marBottom w:val="0"/>
          <w:divBdr>
            <w:top w:val="none" w:sz="0" w:space="0" w:color="auto"/>
            <w:left w:val="none" w:sz="0" w:space="0" w:color="auto"/>
            <w:bottom w:val="none" w:sz="0" w:space="0" w:color="auto"/>
            <w:right w:val="none" w:sz="0" w:space="0" w:color="auto"/>
          </w:divBdr>
        </w:div>
      </w:divsChild>
    </w:div>
    <w:div w:id="216665617">
      <w:bodyDiv w:val="1"/>
      <w:marLeft w:val="0"/>
      <w:marRight w:val="0"/>
      <w:marTop w:val="0"/>
      <w:marBottom w:val="0"/>
      <w:divBdr>
        <w:top w:val="none" w:sz="0" w:space="0" w:color="auto"/>
        <w:left w:val="none" w:sz="0" w:space="0" w:color="auto"/>
        <w:bottom w:val="none" w:sz="0" w:space="0" w:color="auto"/>
        <w:right w:val="none" w:sz="0" w:space="0" w:color="auto"/>
      </w:divBdr>
    </w:div>
    <w:div w:id="225067202">
      <w:bodyDiv w:val="1"/>
      <w:marLeft w:val="0"/>
      <w:marRight w:val="0"/>
      <w:marTop w:val="0"/>
      <w:marBottom w:val="0"/>
      <w:divBdr>
        <w:top w:val="none" w:sz="0" w:space="0" w:color="auto"/>
        <w:left w:val="none" w:sz="0" w:space="0" w:color="auto"/>
        <w:bottom w:val="none" w:sz="0" w:space="0" w:color="auto"/>
        <w:right w:val="none" w:sz="0" w:space="0" w:color="auto"/>
      </w:divBdr>
    </w:div>
    <w:div w:id="285546686">
      <w:bodyDiv w:val="1"/>
      <w:marLeft w:val="0"/>
      <w:marRight w:val="0"/>
      <w:marTop w:val="0"/>
      <w:marBottom w:val="0"/>
      <w:divBdr>
        <w:top w:val="none" w:sz="0" w:space="0" w:color="auto"/>
        <w:left w:val="none" w:sz="0" w:space="0" w:color="auto"/>
        <w:bottom w:val="none" w:sz="0" w:space="0" w:color="auto"/>
        <w:right w:val="none" w:sz="0" w:space="0" w:color="auto"/>
      </w:divBdr>
    </w:div>
    <w:div w:id="362174781">
      <w:bodyDiv w:val="1"/>
      <w:marLeft w:val="0"/>
      <w:marRight w:val="0"/>
      <w:marTop w:val="0"/>
      <w:marBottom w:val="0"/>
      <w:divBdr>
        <w:top w:val="none" w:sz="0" w:space="0" w:color="auto"/>
        <w:left w:val="none" w:sz="0" w:space="0" w:color="auto"/>
        <w:bottom w:val="none" w:sz="0" w:space="0" w:color="auto"/>
        <w:right w:val="none" w:sz="0" w:space="0" w:color="auto"/>
      </w:divBdr>
    </w:div>
    <w:div w:id="407968495">
      <w:bodyDiv w:val="1"/>
      <w:marLeft w:val="0"/>
      <w:marRight w:val="0"/>
      <w:marTop w:val="0"/>
      <w:marBottom w:val="0"/>
      <w:divBdr>
        <w:top w:val="none" w:sz="0" w:space="0" w:color="auto"/>
        <w:left w:val="none" w:sz="0" w:space="0" w:color="auto"/>
        <w:bottom w:val="none" w:sz="0" w:space="0" w:color="auto"/>
        <w:right w:val="none" w:sz="0" w:space="0" w:color="auto"/>
      </w:divBdr>
    </w:div>
    <w:div w:id="408964229">
      <w:bodyDiv w:val="1"/>
      <w:marLeft w:val="0"/>
      <w:marRight w:val="0"/>
      <w:marTop w:val="0"/>
      <w:marBottom w:val="0"/>
      <w:divBdr>
        <w:top w:val="none" w:sz="0" w:space="0" w:color="auto"/>
        <w:left w:val="none" w:sz="0" w:space="0" w:color="auto"/>
        <w:bottom w:val="none" w:sz="0" w:space="0" w:color="auto"/>
        <w:right w:val="none" w:sz="0" w:space="0" w:color="auto"/>
      </w:divBdr>
    </w:div>
    <w:div w:id="430511703">
      <w:bodyDiv w:val="1"/>
      <w:marLeft w:val="0"/>
      <w:marRight w:val="0"/>
      <w:marTop w:val="0"/>
      <w:marBottom w:val="0"/>
      <w:divBdr>
        <w:top w:val="none" w:sz="0" w:space="0" w:color="auto"/>
        <w:left w:val="none" w:sz="0" w:space="0" w:color="auto"/>
        <w:bottom w:val="none" w:sz="0" w:space="0" w:color="auto"/>
        <w:right w:val="none" w:sz="0" w:space="0" w:color="auto"/>
      </w:divBdr>
    </w:div>
    <w:div w:id="471289814">
      <w:bodyDiv w:val="1"/>
      <w:marLeft w:val="0"/>
      <w:marRight w:val="0"/>
      <w:marTop w:val="0"/>
      <w:marBottom w:val="0"/>
      <w:divBdr>
        <w:top w:val="none" w:sz="0" w:space="0" w:color="auto"/>
        <w:left w:val="none" w:sz="0" w:space="0" w:color="auto"/>
        <w:bottom w:val="none" w:sz="0" w:space="0" w:color="auto"/>
        <w:right w:val="none" w:sz="0" w:space="0" w:color="auto"/>
      </w:divBdr>
    </w:div>
    <w:div w:id="521213002">
      <w:bodyDiv w:val="1"/>
      <w:marLeft w:val="0"/>
      <w:marRight w:val="0"/>
      <w:marTop w:val="0"/>
      <w:marBottom w:val="0"/>
      <w:divBdr>
        <w:top w:val="none" w:sz="0" w:space="0" w:color="auto"/>
        <w:left w:val="none" w:sz="0" w:space="0" w:color="auto"/>
        <w:bottom w:val="none" w:sz="0" w:space="0" w:color="auto"/>
        <w:right w:val="none" w:sz="0" w:space="0" w:color="auto"/>
      </w:divBdr>
    </w:div>
    <w:div w:id="532152843">
      <w:bodyDiv w:val="1"/>
      <w:marLeft w:val="0"/>
      <w:marRight w:val="0"/>
      <w:marTop w:val="0"/>
      <w:marBottom w:val="0"/>
      <w:divBdr>
        <w:top w:val="none" w:sz="0" w:space="0" w:color="auto"/>
        <w:left w:val="none" w:sz="0" w:space="0" w:color="auto"/>
        <w:bottom w:val="none" w:sz="0" w:space="0" w:color="auto"/>
        <w:right w:val="none" w:sz="0" w:space="0" w:color="auto"/>
      </w:divBdr>
    </w:div>
    <w:div w:id="543443695">
      <w:bodyDiv w:val="1"/>
      <w:marLeft w:val="0"/>
      <w:marRight w:val="0"/>
      <w:marTop w:val="0"/>
      <w:marBottom w:val="0"/>
      <w:divBdr>
        <w:top w:val="none" w:sz="0" w:space="0" w:color="auto"/>
        <w:left w:val="none" w:sz="0" w:space="0" w:color="auto"/>
        <w:bottom w:val="none" w:sz="0" w:space="0" w:color="auto"/>
        <w:right w:val="none" w:sz="0" w:space="0" w:color="auto"/>
      </w:divBdr>
    </w:div>
    <w:div w:id="593053594">
      <w:bodyDiv w:val="1"/>
      <w:marLeft w:val="0"/>
      <w:marRight w:val="0"/>
      <w:marTop w:val="0"/>
      <w:marBottom w:val="0"/>
      <w:divBdr>
        <w:top w:val="none" w:sz="0" w:space="0" w:color="auto"/>
        <w:left w:val="none" w:sz="0" w:space="0" w:color="auto"/>
        <w:bottom w:val="none" w:sz="0" w:space="0" w:color="auto"/>
        <w:right w:val="none" w:sz="0" w:space="0" w:color="auto"/>
      </w:divBdr>
    </w:div>
    <w:div w:id="653993410">
      <w:bodyDiv w:val="1"/>
      <w:marLeft w:val="0"/>
      <w:marRight w:val="0"/>
      <w:marTop w:val="0"/>
      <w:marBottom w:val="0"/>
      <w:divBdr>
        <w:top w:val="none" w:sz="0" w:space="0" w:color="auto"/>
        <w:left w:val="none" w:sz="0" w:space="0" w:color="auto"/>
        <w:bottom w:val="none" w:sz="0" w:space="0" w:color="auto"/>
        <w:right w:val="none" w:sz="0" w:space="0" w:color="auto"/>
      </w:divBdr>
    </w:div>
    <w:div w:id="689642900">
      <w:bodyDiv w:val="1"/>
      <w:marLeft w:val="0"/>
      <w:marRight w:val="0"/>
      <w:marTop w:val="0"/>
      <w:marBottom w:val="0"/>
      <w:divBdr>
        <w:top w:val="none" w:sz="0" w:space="0" w:color="auto"/>
        <w:left w:val="none" w:sz="0" w:space="0" w:color="auto"/>
        <w:bottom w:val="none" w:sz="0" w:space="0" w:color="auto"/>
        <w:right w:val="none" w:sz="0" w:space="0" w:color="auto"/>
      </w:divBdr>
    </w:div>
    <w:div w:id="700714810">
      <w:bodyDiv w:val="1"/>
      <w:marLeft w:val="0"/>
      <w:marRight w:val="0"/>
      <w:marTop w:val="0"/>
      <w:marBottom w:val="0"/>
      <w:divBdr>
        <w:top w:val="none" w:sz="0" w:space="0" w:color="auto"/>
        <w:left w:val="none" w:sz="0" w:space="0" w:color="auto"/>
        <w:bottom w:val="none" w:sz="0" w:space="0" w:color="auto"/>
        <w:right w:val="none" w:sz="0" w:space="0" w:color="auto"/>
      </w:divBdr>
    </w:div>
    <w:div w:id="717436564">
      <w:bodyDiv w:val="1"/>
      <w:marLeft w:val="0"/>
      <w:marRight w:val="0"/>
      <w:marTop w:val="0"/>
      <w:marBottom w:val="0"/>
      <w:divBdr>
        <w:top w:val="none" w:sz="0" w:space="0" w:color="auto"/>
        <w:left w:val="none" w:sz="0" w:space="0" w:color="auto"/>
        <w:bottom w:val="none" w:sz="0" w:space="0" w:color="auto"/>
        <w:right w:val="none" w:sz="0" w:space="0" w:color="auto"/>
      </w:divBdr>
    </w:div>
    <w:div w:id="738554232">
      <w:bodyDiv w:val="1"/>
      <w:marLeft w:val="0"/>
      <w:marRight w:val="0"/>
      <w:marTop w:val="0"/>
      <w:marBottom w:val="0"/>
      <w:divBdr>
        <w:top w:val="none" w:sz="0" w:space="0" w:color="auto"/>
        <w:left w:val="none" w:sz="0" w:space="0" w:color="auto"/>
        <w:bottom w:val="none" w:sz="0" w:space="0" w:color="auto"/>
        <w:right w:val="none" w:sz="0" w:space="0" w:color="auto"/>
      </w:divBdr>
    </w:div>
    <w:div w:id="768310010">
      <w:bodyDiv w:val="1"/>
      <w:marLeft w:val="0"/>
      <w:marRight w:val="0"/>
      <w:marTop w:val="0"/>
      <w:marBottom w:val="0"/>
      <w:divBdr>
        <w:top w:val="none" w:sz="0" w:space="0" w:color="auto"/>
        <w:left w:val="none" w:sz="0" w:space="0" w:color="auto"/>
        <w:bottom w:val="none" w:sz="0" w:space="0" w:color="auto"/>
        <w:right w:val="none" w:sz="0" w:space="0" w:color="auto"/>
      </w:divBdr>
      <w:divsChild>
        <w:div w:id="566844313">
          <w:marLeft w:val="0"/>
          <w:marRight w:val="0"/>
          <w:marTop w:val="0"/>
          <w:marBottom w:val="0"/>
          <w:divBdr>
            <w:top w:val="none" w:sz="0" w:space="0" w:color="auto"/>
            <w:left w:val="none" w:sz="0" w:space="0" w:color="auto"/>
            <w:bottom w:val="none" w:sz="0" w:space="0" w:color="auto"/>
            <w:right w:val="none" w:sz="0" w:space="0" w:color="auto"/>
          </w:divBdr>
          <w:divsChild>
            <w:div w:id="1414738415">
              <w:marLeft w:val="0"/>
              <w:marRight w:val="0"/>
              <w:marTop w:val="0"/>
              <w:marBottom w:val="0"/>
              <w:divBdr>
                <w:top w:val="none" w:sz="0" w:space="0" w:color="auto"/>
                <w:left w:val="none" w:sz="0" w:space="0" w:color="auto"/>
                <w:bottom w:val="none" w:sz="0" w:space="0" w:color="auto"/>
                <w:right w:val="none" w:sz="0" w:space="0" w:color="auto"/>
              </w:divBdr>
              <w:divsChild>
                <w:div w:id="1954626186">
                  <w:marLeft w:val="0"/>
                  <w:marRight w:val="0"/>
                  <w:marTop w:val="0"/>
                  <w:marBottom w:val="0"/>
                  <w:divBdr>
                    <w:top w:val="none" w:sz="0" w:space="0" w:color="auto"/>
                    <w:left w:val="none" w:sz="0" w:space="0" w:color="auto"/>
                    <w:bottom w:val="none" w:sz="0" w:space="0" w:color="auto"/>
                    <w:right w:val="none" w:sz="0" w:space="0" w:color="auto"/>
                  </w:divBdr>
                  <w:divsChild>
                    <w:div w:id="1460223143">
                      <w:marLeft w:val="0"/>
                      <w:marRight w:val="0"/>
                      <w:marTop w:val="0"/>
                      <w:marBottom w:val="0"/>
                      <w:divBdr>
                        <w:top w:val="none" w:sz="0" w:space="0" w:color="auto"/>
                        <w:left w:val="none" w:sz="0" w:space="0" w:color="auto"/>
                        <w:bottom w:val="none" w:sz="0" w:space="0" w:color="auto"/>
                        <w:right w:val="none" w:sz="0" w:space="0" w:color="auto"/>
                      </w:divBdr>
                      <w:divsChild>
                        <w:div w:id="701248911">
                          <w:marLeft w:val="0"/>
                          <w:marRight w:val="0"/>
                          <w:marTop w:val="0"/>
                          <w:marBottom w:val="0"/>
                          <w:divBdr>
                            <w:top w:val="none" w:sz="0" w:space="0" w:color="auto"/>
                            <w:left w:val="none" w:sz="0" w:space="0" w:color="auto"/>
                            <w:bottom w:val="none" w:sz="0" w:space="0" w:color="auto"/>
                            <w:right w:val="none" w:sz="0" w:space="0" w:color="auto"/>
                          </w:divBdr>
                          <w:divsChild>
                            <w:div w:id="223490249">
                              <w:marLeft w:val="0"/>
                              <w:marRight w:val="0"/>
                              <w:marTop w:val="0"/>
                              <w:marBottom w:val="0"/>
                              <w:divBdr>
                                <w:top w:val="none" w:sz="0" w:space="0" w:color="auto"/>
                                <w:left w:val="none" w:sz="0" w:space="0" w:color="auto"/>
                                <w:bottom w:val="none" w:sz="0" w:space="0" w:color="auto"/>
                                <w:right w:val="none" w:sz="0" w:space="0" w:color="auto"/>
                              </w:divBdr>
                              <w:divsChild>
                                <w:div w:id="1649168537">
                                  <w:marLeft w:val="0"/>
                                  <w:marRight w:val="0"/>
                                  <w:marTop w:val="0"/>
                                  <w:marBottom w:val="0"/>
                                  <w:divBdr>
                                    <w:top w:val="none" w:sz="0" w:space="0" w:color="auto"/>
                                    <w:left w:val="none" w:sz="0" w:space="0" w:color="auto"/>
                                    <w:bottom w:val="none" w:sz="0" w:space="0" w:color="auto"/>
                                    <w:right w:val="none" w:sz="0" w:space="0" w:color="auto"/>
                                  </w:divBdr>
                                  <w:divsChild>
                                    <w:div w:id="1868366921">
                                      <w:marLeft w:val="0"/>
                                      <w:marRight w:val="0"/>
                                      <w:marTop w:val="0"/>
                                      <w:marBottom w:val="0"/>
                                      <w:divBdr>
                                        <w:top w:val="none" w:sz="0" w:space="0" w:color="auto"/>
                                        <w:left w:val="none" w:sz="0" w:space="0" w:color="auto"/>
                                        <w:bottom w:val="none" w:sz="0" w:space="0" w:color="auto"/>
                                        <w:right w:val="none" w:sz="0" w:space="0" w:color="auto"/>
                                      </w:divBdr>
                                      <w:divsChild>
                                        <w:div w:id="599290177">
                                          <w:marLeft w:val="0"/>
                                          <w:marRight w:val="0"/>
                                          <w:marTop w:val="0"/>
                                          <w:marBottom w:val="0"/>
                                          <w:divBdr>
                                            <w:top w:val="none" w:sz="0" w:space="0" w:color="auto"/>
                                            <w:left w:val="none" w:sz="0" w:space="0" w:color="auto"/>
                                            <w:bottom w:val="none" w:sz="0" w:space="0" w:color="auto"/>
                                            <w:right w:val="none" w:sz="0" w:space="0" w:color="auto"/>
                                          </w:divBdr>
                                          <w:divsChild>
                                            <w:div w:id="904529546">
                                              <w:marLeft w:val="0"/>
                                              <w:marRight w:val="0"/>
                                              <w:marTop w:val="0"/>
                                              <w:marBottom w:val="0"/>
                                              <w:divBdr>
                                                <w:top w:val="none" w:sz="0" w:space="0" w:color="auto"/>
                                                <w:left w:val="none" w:sz="0" w:space="0" w:color="auto"/>
                                                <w:bottom w:val="none" w:sz="0" w:space="0" w:color="auto"/>
                                                <w:right w:val="none" w:sz="0" w:space="0" w:color="auto"/>
                                              </w:divBdr>
                                              <w:divsChild>
                                                <w:div w:id="991760730">
                                                  <w:marLeft w:val="0"/>
                                                  <w:marRight w:val="0"/>
                                                  <w:marTop w:val="0"/>
                                                  <w:marBottom w:val="0"/>
                                                  <w:divBdr>
                                                    <w:top w:val="none" w:sz="0" w:space="0" w:color="auto"/>
                                                    <w:left w:val="none" w:sz="0" w:space="0" w:color="auto"/>
                                                    <w:bottom w:val="none" w:sz="0" w:space="0" w:color="auto"/>
                                                    <w:right w:val="none" w:sz="0" w:space="0" w:color="auto"/>
                                                  </w:divBdr>
                                                  <w:divsChild>
                                                    <w:div w:id="482891447">
                                                      <w:marLeft w:val="0"/>
                                                      <w:marRight w:val="0"/>
                                                      <w:marTop w:val="0"/>
                                                      <w:marBottom w:val="0"/>
                                                      <w:divBdr>
                                                        <w:top w:val="none" w:sz="0" w:space="0" w:color="auto"/>
                                                        <w:left w:val="none" w:sz="0" w:space="0" w:color="auto"/>
                                                        <w:bottom w:val="none" w:sz="0" w:space="0" w:color="auto"/>
                                                        <w:right w:val="none" w:sz="0" w:space="0" w:color="auto"/>
                                                      </w:divBdr>
                                                      <w:divsChild>
                                                        <w:div w:id="1607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6949">
                                              <w:marLeft w:val="0"/>
                                              <w:marRight w:val="0"/>
                                              <w:marTop w:val="0"/>
                                              <w:marBottom w:val="0"/>
                                              <w:divBdr>
                                                <w:top w:val="none" w:sz="0" w:space="0" w:color="auto"/>
                                                <w:left w:val="none" w:sz="0" w:space="0" w:color="auto"/>
                                                <w:bottom w:val="none" w:sz="0" w:space="0" w:color="auto"/>
                                                <w:right w:val="none" w:sz="0" w:space="0" w:color="auto"/>
                                              </w:divBdr>
                                              <w:divsChild>
                                                <w:div w:id="155533012">
                                                  <w:marLeft w:val="0"/>
                                                  <w:marRight w:val="0"/>
                                                  <w:marTop w:val="0"/>
                                                  <w:marBottom w:val="0"/>
                                                  <w:divBdr>
                                                    <w:top w:val="none" w:sz="0" w:space="0" w:color="auto"/>
                                                    <w:left w:val="none" w:sz="0" w:space="0" w:color="auto"/>
                                                    <w:bottom w:val="none" w:sz="0" w:space="0" w:color="auto"/>
                                                    <w:right w:val="none" w:sz="0" w:space="0" w:color="auto"/>
                                                  </w:divBdr>
                                                  <w:divsChild>
                                                    <w:div w:id="267396199">
                                                      <w:marLeft w:val="0"/>
                                                      <w:marRight w:val="0"/>
                                                      <w:marTop w:val="0"/>
                                                      <w:marBottom w:val="0"/>
                                                      <w:divBdr>
                                                        <w:top w:val="none" w:sz="0" w:space="0" w:color="auto"/>
                                                        <w:left w:val="none" w:sz="0" w:space="0" w:color="auto"/>
                                                        <w:bottom w:val="none" w:sz="0" w:space="0" w:color="auto"/>
                                                        <w:right w:val="none" w:sz="0" w:space="0" w:color="auto"/>
                                                      </w:divBdr>
                                                      <w:divsChild>
                                                        <w:div w:id="1803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872196">
      <w:bodyDiv w:val="1"/>
      <w:marLeft w:val="0"/>
      <w:marRight w:val="0"/>
      <w:marTop w:val="0"/>
      <w:marBottom w:val="0"/>
      <w:divBdr>
        <w:top w:val="none" w:sz="0" w:space="0" w:color="auto"/>
        <w:left w:val="none" w:sz="0" w:space="0" w:color="auto"/>
        <w:bottom w:val="none" w:sz="0" w:space="0" w:color="auto"/>
        <w:right w:val="none" w:sz="0" w:space="0" w:color="auto"/>
      </w:divBdr>
    </w:div>
    <w:div w:id="845483084">
      <w:bodyDiv w:val="1"/>
      <w:marLeft w:val="0"/>
      <w:marRight w:val="0"/>
      <w:marTop w:val="0"/>
      <w:marBottom w:val="0"/>
      <w:divBdr>
        <w:top w:val="none" w:sz="0" w:space="0" w:color="auto"/>
        <w:left w:val="none" w:sz="0" w:space="0" w:color="auto"/>
        <w:bottom w:val="none" w:sz="0" w:space="0" w:color="auto"/>
        <w:right w:val="none" w:sz="0" w:space="0" w:color="auto"/>
      </w:divBdr>
    </w:div>
    <w:div w:id="879054642">
      <w:bodyDiv w:val="1"/>
      <w:marLeft w:val="0"/>
      <w:marRight w:val="0"/>
      <w:marTop w:val="0"/>
      <w:marBottom w:val="0"/>
      <w:divBdr>
        <w:top w:val="none" w:sz="0" w:space="0" w:color="auto"/>
        <w:left w:val="none" w:sz="0" w:space="0" w:color="auto"/>
        <w:bottom w:val="none" w:sz="0" w:space="0" w:color="auto"/>
        <w:right w:val="none" w:sz="0" w:space="0" w:color="auto"/>
      </w:divBdr>
    </w:div>
    <w:div w:id="892741127">
      <w:bodyDiv w:val="1"/>
      <w:marLeft w:val="0"/>
      <w:marRight w:val="0"/>
      <w:marTop w:val="0"/>
      <w:marBottom w:val="0"/>
      <w:divBdr>
        <w:top w:val="none" w:sz="0" w:space="0" w:color="auto"/>
        <w:left w:val="none" w:sz="0" w:space="0" w:color="auto"/>
        <w:bottom w:val="none" w:sz="0" w:space="0" w:color="auto"/>
        <w:right w:val="none" w:sz="0" w:space="0" w:color="auto"/>
      </w:divBdr>
    </w:div>
    <w:div w:id="896863443">
      <w:bodyDiv w:val="1"/>
      <w:marLeft w:val="0"/>
      <w:marRight w:val="0"/>
      <w:marTop w:val="0"/>
      <w:marBottom w:val="0"/>
      <w:divBdr>
        <w:top w:val="none" w:sz="0" w:space="0" w:color="auto"/>
        <w:left w:val="none" w:sz="0" w:space="0" w:color="auto"/>
        <w:bottom w:val="none" w:sz="0" w:space="0" w:color="auto"/>
        <w:right w:val="none" w:sz="0" w:space="0" w:color="auto"/>
      </w:divBdr>
    </w:div>
    <w:div w:id="910233910">
      <w:bodyDiv w:val="1"/>
      <w:marLeft w:val="0"/>
      <w:marRight w:val="0"/>
      <w:marTop w:val="0"/>
      <w:marBottom w:val="0"/>
      <w:divBdr>
        <w:top w:val="none" w:sz="0" w:space="0" w:color="auto"/>
        <w:left w:val="none" w:sz="0" w:space="0" w:color="auto"/>
        <w:bottom w:val="none" w:sz="0" w:space="0" w:color="auto"/>
        <w:right w:val="none" w:sz="0" w:space="0" w:color="auto"/>
      </w:divBdr>
    </w:div>
    <w:div w:id="964969418">
      <w:bodyDiv w:val="1"/>
      <w:marLeft w:val="0"/>
      <w:marRight w:val="0"/>
      <w:marTop w:val="0"/>
      <w:marBottom w:val="0"/>
      <w:divBdr>
        <w:top w:val="none" w:sz="0" w:space="0" w:color="auto"/>
        <w:left w:val="none" w:sz="0" w:space="0" w:color="auto"/>
        <w:bottom w:val="none" w:sz="0" w:space="0" w:color="auto"/>
        <w:right w:val="none" w:sz="0" w:space="0" w:color="auto"/>
      </w:divBdr>
    </w:div>
    <w:div w:id="969435382">
      <w:bodyDiv w:val="1"/>
      <w:marLeft w:val="0"/>
      <w:marRight w:val="0"/>
      <w:marTop w:val="0"/>
      <w:marBottom w:val="0"/>
      <w:divBdr>
        <w:top w:val="none" w:sz="0" w:space="0" w:color="auto"/>
        <w:left w:val="none" w:sz="0" w:space="0" w:color="auto"/>
        <w:bottom w:val="none" w:sz="0" w:space="0" w:color="auto"/>
        <w:right w:val="none" w:sz="0" w:space="0" w:color="auto"/>
      </w:divBdr>
    </w:div>
    <w:div w:id="972440045">
      <w:bodyDiv w:val="1"/>
      <w:marLeft w:val="0"/>
      <w:marRight w:val="0"/>
      <w:marTop w:val="0"/>
      <w:marBottom w:val="0"/>
      <w:divBdr>
        <w:top w:val="none" w:sz="0" w:space="0" w:color="auto"/>
        <w:left w:val="none" w:sz="0" w:space="0" w:color="auto"/>
        <w:bottom w:val="none" w:sz="0" w:space="0" w:color="auto"/>
        <w:right w:val="none" w:sz="0" w:space="0" w:color="auto"/>
      </w:divBdr>
    </w:div>
    <w:div w:id="1040129339">
      <w:bodyDiv w:val="1"/>
      <w:marLeft w:val="0"/>
      <w:marRight w:val="0"/>
      <w:marTop w:val="0"/>
      <w:marBottom w:val="0"/>
      <w:divBdr>
        <w:top w:val="none" w:sz="0" w:space="0" w:color="auto"/>
        <w:left w:val="none" w:sz="0" w:space="0" w:color="auto"/>
        <w:bottom w:val="none" w:sz="0" w:space="0" w:color="auto"/>
        <w:right w:val="none" w:sz="0" w:space="0" w:color="auto"/>
      </w:divBdr>
    </w:div>
    <w:div w:id="1041248683">
      <w:bodyDiv w:val="1"/>
      <w:marLeft w:val="0"/>
      <w:marRight w:val="0"/>
      <w:marTop w:val="0"/>
      <w:marBottom w:val="0"/>
      <w:divBdr>
        <w:top w:val="none" w:sz="0" w:space="0" w:color="auto"/>
        <w:left w:val="none" w:sz="0" w:space="0" w:color="auto"/>
        <w:bottom w:val="none" w:sz="0" w:space="0" w:color="auto"/>
        <w:right w:val="none" w:sz="0" w:space="0" w:color="auto"/>
      </w:divBdr>
    </w:div>
    <w:div w:id="1061367629">
      <w:bodyDiv w:val="1"/>
      <w:marLeft w:val="0"/>
      <w:marRight w:val="0"/>
      <w:marTop w:val="0"/>
      <w:marBottom w:val="0"/>
      <w:divBdr>
        <w:top w:val="none" w:sz="0" w:space="0" w:color="auto"/>
        <w:left w:val="none" w:sz="0" w:space="0" w:color="auto"/>
        <w:bottom w:val="none" w:sz="0" w:space="0" w:color="auto"/>
        <w:right w:val="none" w:sz="0" w:space="0" w:color="auto"/>
      </w:divBdr>
    </w:div>
    <w:div w:id="1076900717">
      <w:bodyDiv w:val="1"/>
      <w:marLeft w:val="0"/>
      <w:marRight w:val="0"/>
      <w:marTop w:val="0"/>
      <w:marBottom w:val="0"/>
      <w:divBdr>
        <w:top w:val="none" w:sz="0" w:space="0" w:color="auto"/>
        <w:left w:val="none" w:sz="0" w:space="0" w:color="auto"/>
        <w:bottom w:val="none" w:sz="0" w:space="0" w:color="auto"/>
        <w:right w:val="none" w:sz="0" w:space="0" w:color="auto"/>
      </w:divBdr>
    </w:div>
    <w:div w:id="1093671954">
      <w:bodyDiv w:val="1"/>
      <w:marLeft w:val="0"/>
      <w:marRight w:val="0"/>
      <w:marTop w:val="0"/>
      <w:marBottom w:val="0"/>
      <w:divBdr>
        <w:top w:val="none" w:sz="0" w:space="0" w:color="auto"/>
        <w:left w:val="none" w:sz="0" w:space="0" w:color="auto"/>
        <w:bottom w:val="none" w:sz="0" w:space="0" w:color="auto"/>
        <w:right w:val="none" w:sz="0" w:space="0" w:color="auto"/>
      </w:divBdr>
    </w:div>
    <w:div w:id="1101878238">
      <w:bodyDiv w:val="1"/>
      <w:marLeft w:val="0"/>
      <w:marRight w:val="0"/>
      <w:marTop w:val="0"/>
      <w:marBottom w:val="0"/>
      <w:divBdr>
        <w:top w:val="none" w:sz="0" w:space="0" w:color="auto"/>
        <w:left w:val="none" w:sz="0" w:space="0" w:color="auto"/>
        <w:bottom w:val="none" w:sz="0" w:space="0" w:color="auto"/>
        <w:right w:val="none" w:sz="0" w:space="0" w:color="auto"/>
      </w:divBdr>
    </w:div>
    <w:div w:id="1105996885">
      <w:bodyDiv w:val="1"/>
      <w:marLeft w:val="0"/>
      <w:marRight w:val="0"/>
      <w:marTop w:val="0"/>
      <w:marBottom w:val="0"/>
      <w:divBdr>
        <w:top w:val="none" w:sz="0" w:space="0" w:color="auto"/>
        <w:left w:val="none" w:sz="0" w:space="0" w:color="auto"/>
        <w:bottom w:val="none" w:sz="0" w:space="0" w:color="auto"/>
        <w:right w:val="none" w:sz="0" w:space="0" w:color="auto"/>
      </w:divBdr>
    </w:div>
    <w:div w:id="1163012041">
      <w:bodyDiv w:val="1"/>
      <w:marLeft w:val="0"/>
      <w:marRight w:val="0"/>
      <w:marTop w:val="0"/>
      <w:marBottom w:val="0"/>
      <w:divBdr>
        <w:top w:val="none" w:sz="0" w:space="0" w:color="auto"/>
        <w:left w:val="none" w:sz="0" w:space="0" w:color="auto"/>
        <w:bottom w:val="none" w:sz="0" w:space="0" w:color="auto"/>
        <w:right w:val="none" w:sz="0" w:space="0" w:color="auto"/>
      </w:divBdr>
    </w:div>
    <w:div w:id="1163473368">
      <w:bodyDiv w:val="1"/>
      <w:marLeft w:val="0"/>
      <w:marRight w:val="0"/>
      <w:marTop w:val="0"/>
      <w:marBottom w:val="0"/>
      <w:divBdr>
        <w:top w:val="none" w:sz="0" w:space="0" w:color="auto"/>
        <w:left w:val="none" w:sz="0" w:space="0" w:color="auto"/>
        <w:bottom w:val="none" w:sz="0" w:space="0" w:color="auto"/>
        <w:right w:val="none" w:sz="0" w:space="0" w:color="auto"/>
      </w:divBdr>
    </w:div>
    <w:div w:id="1251546919">
      <w:bodyDiv w:val="1"/>
      <w:marLeft w:val="0"/>
      <w:marRight w:val="0"/>
      <w:marTop w:val="0"/>
      <w:marBottom w:val="0"/>
      <w:divBdr>
        <w:top w:val="none" w:sz="0" w:space="0" w:color="auto"/>
        <w:left w:val="none" w:sz="0" w:space="0" w:color="auto"/>
        <w:bottom w:val="none" w:sz="0" w:space="0" w:color="auto"/>
        <w:right w:val="none" w:sz="0" w:space="0" w:color="auto"/>
      </w:divBdr>
    </w:div>
    <w:div w:id="1263026536">
      <w:bodyDiv w:val="1"/>
      <w:marLeft w:val="0"/>
      <w:marRight w:val="0"/>
      <w:marTop w:val="0"/>
      <w:marBottom w:val="0"/>
      <w:divBdr>
        <w:top w:val="none" w:sz="0" w:space="0" w:color="auto"/>
        <w:left w:val="none" w:sz="0" w:space="0" w:color="auto"/>
        <w:bottom w:val="none" w:sz="0" w:space="0" w:color="auto"/>
        <w:right w:val="none" w:sz="0" w:space="0" w:color="auto"/>
      </w:divBdr>
    </w:div>
    <w:div w:id="1346596688">
      <w:bodyDiv w:val="1"/>
      <w:marLeft w:val="0"/>
      <w:marRight w:val="0"/>
      <w:marTop w:val="0"/>
      <w:marBottom w:val="0"/>
      <w:divBdr>
        <w:top w:val="none" w:sz="0" w:space="0" w:color="auto"/>
        <w:left w:val="none" w:sz="0" w:space="0" w:color="auto"/>
        <w:bottom w:val="none" w:sz="0" w:space="0" w:color="auto"/>
        <w:right w:val="none" w:sz="0" w:space="0" w:color="auto"/>
      </w:divBdr>
    </w:div>
    <w:div w:id="1383212623">
      <w:bodyDiv w:val="1"/>
      <w:marLeft w:val="0"/>
      <w:marRight w:val="0"/>
      <w:marTop w:val="0"/>
      <w:marBottom w:val="0"/>
      <w:divBdr>
        <w:top w:val="none" w:sz="0" w:space="0" w:color="auto"/>
        <w:left w:val="none" w:sz="0" w:space="0" w:color="auto"/>
        <w:bottom w:val="none" w:sz="0" w:space="0" w:color="auto"/>
        <w:right w:val="none" w:sz="0" w:space="0" w:color="auto"/>
      </w:divBdr>
    </w:div>
    <w:div w:id="1429080149">
      <w:bodyDiv w:val="1"/>
      <w:marLeft w:val="0"/>
      <w:marRight w:val="0"/>
      <w:marTop w:val="0"/>
      <w:marBottom w:val="0"/>
      <w:divBdr>
        <w:top w:val="none" w:sz="0" w:space="0" w:color="auto"/>
        <w:left w:val="none" w:sz="0" w:space="0" w:color="auto"/>
        <w:bottom w:val="none" w:sz="0" w:space="0" w:color="auto"/>
        <w:right w:val="none" w:sz="0" w:space="0" w:color="auto"/>
      </w:divBdr>
    </w:div>
    <w:div w:id="1437215078">
      <w:bodyDiv w:val="1"/>
      <w:marLeft w:val="0"/>
      <w:marRight w:val="0"/>
      <w:marTop w:val="0"/>
      <w:marBottom w:val="0"/>
      <w:divBdr>
        <w:top w:val="none" w:sz="0" w:space="0" w:color="auto"/>
        <w:left w:val="none" w:sz="0" w:space="0" w:color="auto"/>
        <w:bottom w:val="none" w:sz="0" w:space="0" w:color="auto"/>
        <w:right w:val="none" w:sz="0" w:space="0" w:color="auto"/>
      </w:divBdr>
    </w:div>
    <w:div w:id="1453357892">
      <w:bodyDiv w:val="1"/>
      <w:marLeft w:val="0"/>
      <w:marRight w:val="0"/>
      <w:marTop w:val="0"/>
      <w:marBottom w:val="0"/>
      <w:divBdr>
        <w:top w:val="none" w:sz="0" w:space="0" w:color="auto"/>
        <w:left w:val="none" w:sz="0" w:space="0" w:color="auto"/>
        <w:bottom w:val="none" w:sz="0" w:space="0" w:color="auto"/>
        <w:right w:val="none" w:sz="0" w:space="0" w:color="auto"/>
      </w:divBdr>
    </w:div>
    <w:div w:id="1475677811">
      <w:bodyDiv w:val="1"/>
      <w:marLeft w:val="0"/>
      <w:marRight w:val="0"/>
      <w:marTop w:val="0"/>
      <w:marBottom w:val="0"/>
      <w:divBdr>
        <w:top w:val="none" w:sz="0" w:space="0" w:color="auto"/>
        <w:left w:val="none" w:sz="0" w:space="0" w:color="auto"/>
        <w:bottom w:val="none" w:sz="0" w:space="0" w:color="auto"/>
        <w:right w:val="none" w:sz="0" w:space="0" w:color="auto"/>
      </w:divBdr>
    </w:div>
    <w:div w:id="1487091117">
      <w:bodyDiv w:val="1"/>
      <w:marLeft w:val="0"/>
      <w:marRight w:val="0"/>
      <w:marTop w:val="0"/>
      <w:marBottom w:val="0"/>
      <w:divBdr>
        <w:top w:val="none" w:sz="0" w:space="0" w:color="auto"/>
        <w:left w:val="none" w:sz="0" w:space="0" w:color="auto"/>
        <w:bottom w:val="none" w:sz="0" w:space="0" w:color="auto"/>
        <w:right w:val="none" w:sz="0" w:space="0" w:color="auto"/>
      </w:divBdr>
    </w:div>
    <w:div w:id="1491092474">
      <w:bodyDiv w:val="1"/>
      <w:marLeft w:val="0"/>
      <w:marRight w:val="0"/>
      <w:marTop w:val="0"/>
      <w:marBottom w:val="0"/>
      <w:divBdr>
        <w:top w:val="none" w:sz="0" w:space="0" w:color="auto"/>
        <w:left w:val="none" w:sz="0" w:space="0" w:color="auto"/>
        <w:bottom w:val="none" w:sz="0" w:space="0" w:color="auto"/>
        <w:right w:val="none" w:sz="0" w:space="0" w:color="auto"/>
      </w:divBdr>
    </w:div>
    <w:div w:id="1517884445">
      <w:bodyDiv w:val="1"/>
      <w:marLeft w:val="0"/>
      <w:marRight w:val="0"/>
      <w:marTop w:val="0"/>
      <w:marBottom w:val="0"/>
      <w:divBdr>
        <w:top w:val="none" w:sz="0" w:space="0" w:color="auto"/>
        <w:left w:val="none" w:sz="0" w:space="0" w:color="auto"/>
        <w:bottom w:val="none" w:sz="0" w:space="0" w:color="auto"/>
        <w:right w:val="none" w:sz="0" w:space="0" w:color="auto"/>
      </w:divBdr>
    </w:div>
    <w:div w:id="1529022085">
      <w:bodyDiv w:val="1"/>
      <w:marLeft w:val="0"/>
      <w:marRight w:val="0"/>
      <w:marTop w:val="0"/>
      <w:marBottom w:val="0"/>
      <w:divBdr>
        <w:top w:val="none" w:sz="0" w:space="0" w:color="auto"/>
        <w:left w:val="none" w:sz="0" w:space="0" w:color="auto"/>
        <w:bottom w:val="none" w:sz="0" w:space="0" w:color="auto"/>
        <w:right w:val="none" w:sz="0" w:space="0" w:color="auto"/>
      </w:divBdr>
    </w:div>
    <w:div w:id="1613703397">
      <w:bodyDiv w:val="1"/>
      <w:marLeft w:val="0"/>
      <w:marRight w:val="0"/>
      <w:marTop w:val="0"/>
      <w:marBottom w:val="0"/>
      <w:divBdr>
        <w:top w:val="none" w:sz="0" w:space="0" w:color="auto"/>
        <w:left w:val="none" w:sz="0" w:space="0" w:color="auto"/>
        <w:bottom w:val="none" w:sz="0" w:space="0" w:color="auto"/>
        <w:right w:val="none" w:sz="0" w:space="0" w:color="auto"/>
      </w:divBdr>
    </w:div>
    <w:div w:id="1616869104">
      <w:bodyDiv w:val="1"/>
      <w:marLeft w:val="0"/>
      <w:marRight w:val="0"/>
      <w:marTop w:val="0"/>
      <w:marBottom w:val="0"/>
      <w:divBdr>
        <w:top w:val="none" w:sz="0" w:space="0" w:color="auto"/>
        <w:left w:val="none" w:sz="0" w:space="0" w:color="auto"/>
        <w:bottom w:val="none" w:sz="0" w:space="0" w:color="auto"/>
        <w:right w:val="none" w:sz="0" w:space="0" w:color="auto"/>
      </w:divBdr>
    </w:div>
    <w:div w:id="1617133306">
      <w:bodyDiv w:val="1"/>
      <w:marLeft w:val="0"/>
      <w:marRight w:val="0"/>
      <w:marTop w:val="0"/>
      <w:marBottom w:val="0"/>
      <w:divBdr>
        <w:top w:val="none" w:sz="0" w:space="0" w:color="auto"/>
        <w:left w:val="none" w:sz="0" w:space="0" w:color="auto"/>
        <w:bottom w:val="none" w:sz="0" w:space="0" w:color="auto"/>
        <w:right w:val="none" w:sz="0" w:space="0" w:color="auto"/>
      </w:divBdr>
    </w:div>
    <w:div w:id="1627933657">
      <w:bodyDiv w:val="1"/>
      <w:marLeft w:val="0"/>
      <w:marRight w:val="0"/>
      <w:marTop w:val="0"/>
      <w:marBottom w:val="0"/>
      <w:divBdr>
        <w:top w:val="none" w:sz="0" w:space="0" w:color="auto"/>
        <w:left w:val="none" w:sz="0" w:space="0" w:color="auto"/>
        <w:bottom w:val="none" w:sz="0" w:space="0" w:color="auto"/>
        <w:right w:val="none" w:sz="0" w:space="0" w:color="auto"/>
      </w:divBdr>
    </w:div>
    <w:div w:id="1669673624">
      <w:bodyDiv w:val="1"/>
      <w:marLeft w:val="0"/>
      <w:marRight w:val="0"/>
      <w:marTop w:val="0"/>
      <w:marBottom w:val="0"/>
      <w:divBdr>
        <w:top w:val="none" w:sz="0" w:space="0" w:color="auto"/>
        <w:left w:val="none" w:sz="0" w:space="0" w:color="auto"/>
        <w:bottom w:val="none" w:sz="0" w:space="0" w:color="auto"/>
        <w:right w:val="none" w:sz="0" w:space="0" w:color="auto"/>
      </w:divBdr>
    </w:div>
    <w:div w:id="1686444108">
      <w:bodyDiv w:val="1"/>
      <w:marLeft w:val="0"/>
      <w:marRight w:val="0"/>
      <w:marTop w:val="0"/>
      <w:marBottom w:val="0"/>
      <w:divBdr>
        <w:top w:val="none" w:sz="0" w:space="0" w:color="auto"/>
        <w:left w:val="none" w:sz="0" w:space="0" w:color="auto"/>
        <w:bottom w:val="none" w:sz="0" w:space="0" w:color="auto"/>
        <w:right w:val="none" w:sz="0" w:space="0" w:color="auto"/>
      </w:divBdr>
    </w:div>
    <w:div w:id="1762219165">
      <w:bodyDiv w:val="1"/>
      <w:marLeft w:val="0"/>
      <w:marRight w:val="0"/>
      <w:marTop w:val="0"/>
      <w:marBottom w:val="0"/>
      <w:divBdr>
        <w:top w:val="none" w:sz="0" w:space="0" w:color="auto"/>
        <w:left w:val="none" w:sz="0" w:space="0" w:color="auto"/>
        <w:bottom w:val="none" w:sz="0" w:space="0" w:color="auto"/>
        <w:right w:val="none" w:sz="0" w:space="0" w:color="auto"/>
      </w:divBdr>
    </w:div>
    <w:div w:id="1853182659">
      <w:bodyDiv w:val="1"/>
      <w:marLeft w:val="0"/>
      <w:marRight w:val="0"/>
      <w:marTop w:val="0"/>
      <w:marBottom w:val="0"/>
      <w:divBdr>
        <w:top w:val="none" w:sz="0" w:space="0" w:color="auto"/>
        <w:left w:val="none" w:sz="0" w:space="0" w:color="auto"/>
        <w:bottom w:val="none" w:sz="0" w:space="0" w:color="auto"/>
        <w:right w:val="none" w:sz="0" w:space="0" w:color="auto"/>
      </w:divBdr>
    </w:div>
    <w:div w:id="1904758435">
      <w:bodyDiv w:val="1"/>
      <w:marLeft w:val="0"/>
      <w:marRight w:val="0"/>
      <w:marTop w:val="0"/>
      <w:marBottom w:val="0"/>
      <w:divBdr>
        <w:top w:val="none" w:sz="0" w:space="0" w:color="auto"/>
        <w:left w:val="none" w:sz="0" w:space="0" w:color="auto"/>
        <w:bottom w:val="none" w:sz="0" w:space="0" w:color="auto"/>
        <w:right w:val="none" w:sz="0" w:space="0" w:color="auto"/>
      </w:divBdr>
    </w:div>
    <w:div w:id="1914463005">
      <w:bodyDiv w:val="1"/>
      <w:marLeft w:val="0"/>
      <w:marRight w:val="0"/>
      <w:marTop w:val="0"/>
      <w:marBottom w:val="0"/>
      <w:divBdr>
        <w:top w:val="none" w:sz="0" w:space="0" w:color="auto"/>
        <w:left w:val="none" w:sz="0" w:space="0" w:color="auto"/>
        <w:bottom w:val="none" w:sz="0" w:space="0" w:color="auto"/>
        <w:right w:val="none" w:sz="0" w:space="0" w:color="auto"/>
      </w:divBdr>
    </w:div>
    <w:div w:id="1989285641">
      <w:bodyDiv w:val="1"/>
      <w:marLeft w:val="0"/>
      <w:marRight w:val="0"/>
      <w:marTop w:val="0"/>
      <w:marBottom w:val="0"/>
      <w:divBdr>
        <w:top w:val="none" w:sz="0" w:space="0" w:color="auto"/>
        <w:left w:val="none" w:sz="0" w:space="0" w:color="auto"/>
        <w:bottom w:val="none" w:sz="0" w:space="0" w:color="auto"/>
        <w:right w:val="none" w:sz="0" w:space="0" w:color="auto"/>
      </w:divBdr>
    </w:div>
    <w:div w:id="2014410213">
      <w:bodyDiv w:val="1"/>
      <w:marLeft w:val="0"/>
      <w:marRight w:val="0"/>
      <w:marTop w:val="0"/>
      <w:marBottom w:val="0"/>
      <w:divBdr>
        <w:top w:val="none" w:sz="0" w:space="0" w:color="auto"/>
        <w:left w:val="none" w:sz="0" w:space="0" w:color="auto"/>
        <w:bottom w:val="none" w:sz="0" w:space="0" w:color="auto"/>
        <w:right w:val="none" w:sz="0" w:space="0" w:color="auto"/>
      </w:divBdr>
    </w:div>
    <w:div w:id="2030715245">
      <w:bodyDiv w:val="1"/>
      <w:marLeft w:val="0"/>
      <w:marRight w:val="0"/>
      <w:marTop w:val="0"/>
      <w:marBottom w:val="0"/>
      <w:divBdr>
        <w:top w:val="none" w:sz="0" w:space="0" w:color="auto"/>
        <w:left w:val="none" w:sz="0" w:space="0" w:color="auto"/>
        <w:bottom w:val="none" w:sz="0" w:space="0" w:color="auto"/>
        <w:right w:val="none" w:sz="0" w:space="0" w:color="auto"/>
      </w:divBdr>
    </w:div>
    <w:div w:id="2113864218">
      <w:bodyDiv w:val="1"/>
      <w:marLeft w:val="0"/>
      <w:marRight w:val="0"/>
      <w:marTop w:val="0"/>
      <w:marBottom w:val="0"/>
      <w:divBdr>
        <w:top w:val="none" w:sz="0" w:space="0" w:color="auto"/>
        <w:left w:val="none" w:sz="0" w:space="0" w:color="auto"/>
        <w:bottom w:val="none" w:sz="0" w:space="0" w:color="auto"/>
        <w:right w:val="none" w:sz="0" w:space="0" w:color="auto"/>
      </w:divBdr>
    </w:div>
    <w:div w:id="21456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1.xml"/>
<Relationship Id="rId26" Type="http://schemas.openxmlformats.org/officeDocument/2006/relationships/image" Target="media/rId26.jpg"/>
<Relationship Id="rId23" Type="http://schemas.openxmlformats.org/officeDocument/2006/relationships/image" Target="media/rId23.jpg"/>
<Relationship Id="rId20" Type="http://schemas.openxmlformats.org/officeDocument/2006/relationships/image" Target="media/rId20.jpg"/>
<Relationship Id="rId50" Type="http://schemas.openxmlformats.org/officeDocument/2006/relationships/hyperlink" Target="https://inddex.nutrition.tufts.edu/data4diets/indicator/food-consumption-score-fcs" TargetMode="External"/>
<Relationship Id="rId51" Type="http://schemas.openxmlformats.org/officeDocument/2006/relationships/image" Target="media/47a64604882ce0fd39d54b13f485afca1dd90d72.png"/>
<Relationship Id="rId52" Type="http://schemas.openxmlformats.org/officeDocument/2006/relationships/image" Target="media/121416e823790904b2ae6c5acc31b86a83701365.png"/>
<Relationship Id="rId53" Type="http://schemas.openxmlformats.org/officeDocument/2006/relationships/image" Target="media/00982db795465a07dbbce34b9ef88ac41879ecef.png"/>
<Relationship Id="rId54" Type="http://schemas.openxmlformats.org/officeDocument/2006/relationships/image" Target="media/89290419bd73dbc8ac6c69e54eeb1b7412078628.png"/>
<Relationship Id="rId55" Type="http://schemas.openxmlformats.org/officeDocument/2006/relationships/image" Target="media/ef2aebaaf32b61703a37987f5c95f923132e4e6c.png"/>
<Relationship Id="rId56" Type="http://schemas.openxmlformats.org/officeDocument/2006/relationships/image" Target="media/e342831e1ae4eb0093c54d96ad6c6ff04b7a76fe.png"/>
<Relationship Id="rId57" Type="http://schemas.openxmlformats.org/officeDocument/2006/relationships/image" Target="media/94f5a97c5d66eee5be30716682b989da33c560c7.png"/>
<Relationship Id="rId58" Type="http://schemas.openxmlformats.org/officeDocument/2006/relationships/image" Target="media/cfed9f34bc08bb919bbdb95ccbf41aad76e4a5bd.png"/>
<Relationship Id="rId59" Type="http://schemas.openxmlformats.org/officeDocument/2006/relationships/image" Target="media/47cab5a28eb94a5e91b100517e21cf18a6a733e3.png"/>
<Relationship Id="rId60" Type="http://schemas.openxmlformats.org/officeDocument/2006/relationships/image" Target="media/47ad41d89487b94e9570db3e76a23e16333d0bd0.png"/>
<Relationship Id="rId61" Type="http://schemas.openxmlformats.org/officeDocument/2006/relationships/image" Target="media/24cf7a93c19f5470f5b3c2c64251de78237fd397.png"/>
<Relationship Id="rId62" Type="http://schemas.openxmlformats.org/officeDocument/2006/relationships/image" Target="media/fbe5e88b3587850ac4f70434553a4a6fed54f221.png"/>
<Relationship Id="rId63" Type="http://schemas.openxmlformats.org/officeDocument/2006/relationships/image" Target="media/244768be675c9e73817cc30cdbe1a6d49dcb8150.png"/>
<Relationship Id="rId64" Type="http://schemas.openxmlformats.org/officeDocument/2006/relationships/image" Target="media/c9094553ab20d722f1672a46421395d0a4c87417.png"/>
<Relationship Id="rId65" Type="http://schemas.openxmlformats.org/officeDocument/2006/relationships/image" Target="media/0a3fc0f981b59e26d6a965d400b480f8600b53d1.png"/>
<Relationship Id="rId66" Type="http://schemas.openxmlformats.org/officeDocument/2006/relationships/image" Target="media/04560fc0b5fb4fa8dd78344e9cec9d8e77cde24b.png"/>
<Relationship Id="rId67" Type="http://schemas.openxmlformats.org/officeDocument/2006/relationships/image" Target="media/c82f3bb2becb30ecbc8dc773cd2d91bafabda5f6.png"/>
<Relationship Id="rId68" Type="http://schemas.openxmlformats.org/officeDocument/2006/relationships/image" Target="media/ccb203dc27b97c005488c367476ab1be9c2545f9.png"/>
</Relationships>

</file>

<file path=word/_rels/footnotes.xml.rels><?xml version="1.0" encoding="UTF-8" standalone="yes"?>

<Relationships  xmlns="http://schemas.openxmlformats.org/package/2006/relationships">
<Relationship Id="rId50" Type="http://schemas.openxmlformats.org/officeDocument/2006/relationships/hyperlink" Target="https://inddex.nutrition.tufts.edu/data4diets/indicator/food-consumption-score-fcs" TargetMode="External"/>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ISEP%202\MON%20DOSSIER\APPRENTISSAGE%20DES%20VACANCES\ISEP3\ME%20_%20SEMESTRE%202\PROJET%20STATISTIQUE%20SOUS%20R%20ET%20PYTHON\FogwoungDjoufackSarahLaure_ISEP3_ExamFinalR\Donnees\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5809</TotalTime>
  <Pages>2</Pages>
  <Words>9</Words>
  <Characters>54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2025-06-04T15:52:15Z</dcterms:created>
  <dcterms:modified xsi:type="dcterms:W3CDTF">2025-06-04T16:52:18Z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