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Exoplanet Analysis Pipeline &amp; Local RAG Q&amp;A System</w:t>
      </w:r>
    </w:p>
    <w:p>
      <w:pPr>
        <w:spacing w:after="240"/>
      </w:pPr>
      <w:r>
        <w:rPr>
          <w:i/>
          <w:iCs/>
          <w:color w:val="555555"/>
        </w:rPr>
        <w:t xml:space="preserve">Technical Project Report — Sarang Athani</w:t>
      </w:r>
    </w:p>
    <w:p>
      <w:pPr>
        <w:pStyle w:val="Heading1"/>
        <w:spacing w:after="160" w:before="0"/>
      </w:pPr>
      <w:r>
        <w:t xml:space="preserve">Overview</w:t>
      </w:r>
    </w:p>
    <w:p>
      <w:pPr>
        <w:spacing w:after="140"/>
      </w:pPr>
      <w:r>
        <w:t xml:space="preserve">This project is an end-to-end pipeline that analyzes NASA's Planetary Systems Composite Parameters (PSCompPars) exoplanet catalog and exposes the results through a locally-run, retrieval-augmented generation (RAG) question-answering system. The work spans data preparation, three independent statistical analyses, and a full RAG architecture — embedding, vector search, and grounded generation — built on open-source tooling and running entirely on local compute.</w:t>
      </w:r>
    </w:p>
    <w:p>
      <w:pPr>
        <w:pStyle w:val="Heading1"/>
        <w:spacing w:after="160" w:before="0"/>
      </w:pPr>
      <w:r>
        <w:t xml:space="preserve">Data &amp; Methodology</w:t>
      </w:r>
    </w:p>
    <w:p>
      <w:pPr>
        <w:pStyle w:val="ListParagraph"/>
        <w:numPr>
          <w:ilvl w:val="0"/>
          <w:numId w:val="2"/>
        </w:numPr>
        <w:spacing w:after="80"/>
      </w:pPr>
      <w:r>
        <w:t xml:space="preserve">Dataset: NASA PSCompPars confirmed-exoplanet catalog. Sample sizes vary slightly by analysis (5,038–6,298 planets) depending on which columns had valid data for that particular test.</w:t>
      </w:r>
    </w:p>
    <w:p>
      <w:pPr>
        <w:pStyle w:val="ListParagraph"/>
        <w:numPr>
          <w:ilvl w:val="0"/>
          <w:numId w:val="2"/>
        </w:numPr>
        <w:spacing w:after="80"/>
      </w:pPr>
      <w:r>
        <w:t xml:space="preserve">Train/test split enforced before any analysis development: an 80/20 split with a fixed random seed for reproducibility. All exploratory, regression, and classification work was developed and tuned exclusively on the training set; the test set was held out to validate pipeline behavior on unseen data and avoid tuning bias.</w:t>
      </w:r>
    </w:p>
    <w:p>
      <w:pPr>
        <w:pStyle w:val="ListParagraph"/>
        <w:numPr>
          <w:ilvl w:val="0"/>
          <w:numId w:val="2"/>
        </w:numPr>
        <w:spacing w:after="80"/>
      </w:pPr>
      <w:r>
        <w:t xml:space="preserve">Core stack: Python, pandas, NumPy, scikit-learn, matplotlib/seaborn for analysis; sentence-transformers, sqlite-vec, and Ollama for the RAG system.</w:t>
      </w:r>
    </w:p>
    <w:p>
      <w:pPr>
        <w:pStyle w:val="Heading1"/>
        <w:spacing w:after="160" w:before="0"/>
      </w:pPr>
      <w:r>
        <w:t xml:space="preserve">Exploratory Data Analysis</w:t>
      </w:r>
    </w:p>
    <w:p>
      <w:pPr>
        <w:spacing w:after="140"/>
      </w:pPr>
      <w:r>
        <w:t xml:space="preserve">Ran completeness, distribution, and correlation analysis across 5,038 confirmed planets and 84 columns. Discovery method breakdown is dominated by Transit (3,726 planets), followed by Radial Velocity (938) and Microlensing (232). The strongest pairwise correlations were planet radius vs. mass (|r| = 0.917), orbital period vs. insolation flux (|r| = 0.841), and equilibrium temperature vs. insolation flux (|r| = 0.82).</w:t>
      </w:r>
    </w:p>
    <w:p>
      <w:pPr>
        <w:pStyle w:val="Heading1"/>
        <w:spacing w:after="160" w:before="0"/>
      </w:pPr>
      <w:r>
        <w:t xml:space="preserve">Regression Analysis</w:t>
      </w:r>
    </w:p>
    <w:p>
      <w:pPr>
        <w:spacing w:after="140"/>
      </w:pPr>
      <w:r>
        <w:rPr>
          <w:b/>
          <w:bCs/>
        </w:rPr>
        <w:t xml:space="preserve">Part A — Mass-Radius Power Law. </w:t>
      </w:r>
      <w:r>
        <w:t xml:space="preserve">Fit R ∝ M^α in log-log space across 6,224 planets. Result: α = 0.355, R² = 0.843. The departure from a single power law at high mass reflects the known physical transition from rocky planets to compressible gas giants.</w:t>
      </w:r>
    </w:p>
    <w:p>
      <w:pPr>
        <w:spacing w:after="140"/>
      </w:pPr>
      <w:r>
        <w:rPr>
          <w:b/>
          <w:bCs/>
        </w:rPr>
        <w:t xml:space="preserve">Part B — Stellar Properties Regression. </w:t>
      </w:r>
      <w:r>
        <w:t xml:space="preserve">Tested whether host-star temperature, radius, and mass predict planet radius via multiple linear regression on standardized features. Result: test R² = 0.197, test MAE = 0.302. The low R² indicates host-star properties alone are weak predictors of planet size — other factors (e.g., orbital distance) likely dominate.</w:t>
      </w:r>
    </w:p>
    <w:p>
      <w:pPr>
        <w:pStyle w:val="Heading1"/>
        <w:spacing w:after="160" w:before="0"/>
      </w:pPr>
      <w:r>
        <w:t xml:space="preserve">Habitable Zone Classification</w:t>
      </w:r>
    </w:p>
    <w:p>
      <w:pPr>
        <w:spacing w:after="140"/>
      </w:pPr>
      <w:r>
        <w:t xml:space="preserve">Classified 6,298 planets as Too Hot, Habitable Zone, Too Cold, or Unknown using Kopparapu et al. (2013) conservative insolation-flux thresholds (1.1 S⊕ upper bound, 0.36 S⊕ lower bound). Only 186 planets (3%) fall in the habitable zone overall. Comparing detection methods surfaces a clear selection-bias signal: Transit-discovered planets are 94.0% “Too Hot”, since transit detection favors short-period, close-in orbits, while Radial-Velocity-discovered planets show a far more balanced spread (59.9% Too Hot, 25.8% Too Cold, 11.3% Habitable Zone), consistent with RV's greater sensitivity to longer-period, cooler orbits.</w:t>
      </w:r>
    </w:p>
    <w:p>
      <w:pPr>
        <w:pStyle w:val="Heading1"/>
        <w:spacing w:after="160" w:before="0"/>
      </w:pPr>
      <w:r>
        <w:t xml:space="preserve">RAG Question-Answering System</w:t>
      </w:r>
    </w:p>
    <w:p>
      <w:pPr>
        <w:spacing w:after="140"/>
      </w:pPr>
      <w:r>
        <w:t xml:space="preserve">This was the primary engineering component of the project: a four-stage local pipeline that turns the analysis findings (plus supporting research papers) into a system a user can query in natural language.</w:t>
      </w:r>
    </w:p>
    <w:p>
      <w:pPr>
        <w:pStyle w:val="ListParagraph"/>
        <w:numPr>
          <w:ilvl w:val="0"/>
          <w:numId w:val="2"/>
        </w:numPr>
        <w:spacing w:after="80"/>
      </w:pPr>
      <w:r>
        <w:t xml:space="preserve">Findings generation — converts the JSON outputs of the three analyses into readable prose documents suitable for embedding.</w:t>
      </w:r>
    </w:p>
    <w:p>
      <w:pPr>
        <w:pStyle w:val="ListParagraph"/>
        <w:numPr>
          <w:ilvl w:val="0"/>
          <w:numId w:val="2"/>
        </w:numPr>
        <w:spacing w:after="80"/>
      </w:pPr>
      <w:r>
        <w:t xml:space="preserve">Embedding — wraps a local sentence-transformers model (all-MiniLM-L6-v2) behind a single interface, so the embedding backend can be swapped later without touching retrieval or storage code. Embeddings are normalized to unit length.</w:t>
      </w:r>
    </w:p>
    <w:p>
      <w:pPr>
        <w:pStyle w:val="ListParagraph"/>
        <w:numPr>
          <w:ilvl w:val="0"/>
          <w:numId w:val="2"/>
        </w:numPr>
        <w:spacing w:after="80"/>
      </w:pPr>
      <w:r>
        <w:t xml:space="preserve">Indexing — chunks findings text (paragraph merging, 40–150 words) and research papers (section-aware header detection + sentence merging, 200–400 words, extracted from PDF via pdfplumber), embeds every chunk, and stores them in a sqlite-vec-backed SQLite database for vector similarity search.</w:t>
      </w:r>
    </w:p>
    <w:p>
      <w:pPr>
        <w:pStyle w:val="ListParagraph"/>
        <w:numPr>
          <w:ilvl w:val="0"/>
          <w:numId w:val="2"/>
        </w:numPr>
        <w:spacing w:after="80"/>
      </w:pPr>
      <w:r>
        <w:t xml:space="preserve">Retrieval + generation — embeds an incoming question, retrieves the k nearest chunks by vector distance, filters out anything past an empirically-tuned distance threshold (1.2, derived by testing answerable vs. unrelated questions), and passes surviving chunks to a locally-run LLM (Llama 3.2 3B via Ollama) under a system prompt constraining it to answer only from the provided context.</w:t>
      </w:r>
    </w:p>
    <w:p>
      <w:pPr>
        <w:pStyle w:val="Heading1"/>
        <w:spacing w:after="160" w:before="0"/>
      </w:pPr>
      <w:r>
        <w:t xml:space="preserve">Key Technical Decisions</w:t>
      </w:r>
    </w:p>
    <w:p>
      <w:pPr>
        <w:pStyle w:val="ListParagraph"/>
        <w:numPr>
          <w:ilvl w:val="0"/>
          <w:numId w:val="2"/>
        </w:numPr>
        <w:spacing w:after="80"/>
      </w:pPr>
      <w:r>
        <w:t xml:space="preserve">Distance threshold tuned empirically rather than guessed, so the system rejects questions with no real answer in the dataset instead of forcing a low-confidence match — preventing hallucinated or misleading answers.</w:t>
      </w:r>
    </w:p>
    <w:p>
      <w:pPr>
        <w:pStyle w:val="ListParagraph"/>
        <w:numPr>
          <w:ilvl w:val="0"/>
          <w:numId w:val="2"/>
        </w:numPr>
        <w:spacing w:after="80"/>
      </w:pPr>
      <w:r>
        <w:t xml:space="preserve">PDF extraction handled edge cases specific to academic papers: rotated arXiv watermarks (filtered via upright-character detection), repeated running headers/footers (removed via cross-page repetition detection), and glyph-mapping artifacts in equation-heavy text.</w:t>
      </w:r>
    </w:p>
    <w:p>
      <w:pPr>
        <w:pStyle w:val="ListParagraph"/>
        <w:numPr>
          <w:ilvl w:val="0"/>
          <w:numId w:val="2"/>
        </w:numPr>
        <w:spacing w:after="80"/>
      </w:pPr>
      <w:r>
        <w:t xml:space="preserve">Chose local models for both embedding and generation over API-based services, for data privacy and zero marginal inference cost.</w:t>
      </w:r>
    </w:p>
    <w:p>
      <w:pPr>
        <w:pStyle w:val="ListParagraph"/>
        <w:numPr>
          <w:ilvl w:val="0"/>
          <w:numId w:val="2"/>
        </w:numPr>
        <w:spacing w:after="80"/>
      </w:pPr>
      <w:r>
        <w:t xml:space="preserve">Paper-section header detection deliberately favors precision over recall, to avoid false-positive splits that would break a chunk mid-paragraph.</w:t>
      </w:r>
    </w:p>
    <w:p>
      <w:pPr>
        <w:pStyle w:val="Heading1"/>
        <w:spacing w:after="160" w:before="0"/>
      </w:pPr>
      <w:r>
        <w:t xml:space="preserve">Outcome</w:t>
      </w:r>
    </w:p>
    <w:p>
      <w:pPr>
        <w:spacing w:after="140"/>
      </w:pPr>
      <w:r>
        <w:t xml:space="preserve">The result is a fully local, reproducible pipeline: raw CSV data in, natural-language answers grounded in verified analysis out. The project demonstrates skills across the applied data science and ML/NLP stack — statistical modeling, data visualization, PDF/text processing, embeddings, vector databases, and retrieval-augmented LLM application design — as a single coherent system rather than isolated exercises.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2026-08-12T01:24:46.034Z</dcterms:created>
  <dcterms:modified xsi:type="dcterms:W3CDTF">2026-08-12T01:24:46.034Z</dcterms:modified>
</cp:coreProperties>
</file>

<file path=docProps/custom.xml><?xml version="1.0" encoding="utf-8"?>
<Properties xmlns="http://schemas.openxmlformats.org/officeDocument/2006/custom-properties" xmlns:vt="http://schemas.openxmlformats.org/officeDocument/2006/docPropsVTypes"/>
</file>