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2430"/>
          <w:sz w:val="36"/>
        </w:rPr>
        <w:t>ACME CORPORATE CONTRACT POLICY PLAYBOOK</w:t>
      </w:r>
    </w:p>
    <w:p>
      <w:pPr>
        <w:spacing w:after="320"/>
      </w:pPr>
      <w:r>
        <w:rPr>
          <w:rFonts w:ascii="Arial" w:hAnsi="Arial"/>
          <w:color w:val="6E6862"/>
          <w:sz w:val="20"/>
        </w:rPr>
        <w:t>Standard Procurement Guidelines &amp; Risk Baseline v1.0  |  Entity: Acme Corporation Legal Dept</w:t>
      </w:r>
    </w:p>
    <w:p>
      <w:pPr>
        <w:spacing w:after="320"/>
      </w:pPr>
      <w:r>
        <w:rPr>
          <w:color w:val="DCD7D0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POLICY 1. LIMITATION OF LIABILITY REQUIREMENTS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All commercial agreements must provide a mutual aggregate liability cap not to exceed twelve (12) months of fees paid. Uncapped customer liability or one-sided supplier caps are strictly unacceptable and must be redlined.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POLICY 2. INDEMNITY RECIPROCITY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Customer must not agree to unilateral indemnification of suppliers. Indemnity must be reciprocal and confined to third-party intellectual property infringement and gross negligence.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POLICY 3. TERMINATION AND CURE RIGHTS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Contracts must contain a thirty (30) day termination for convenience clause and a minimum thirty (30) day cure period for material breach.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POLICY 4. APPROVED GOVERNING VENUES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Preferred jurisdictions: State of Delaware or State of New York. Fallback: California. Other jurisdictions require legal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