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MASTER SERVICES AGREEMENT</w:t>
      </w:r>
    </w:p>
    <w:p>
      <w:r>
        <w:t>This Master Services Agreement ("Agreement") is entered into between CloudCore Systems Inc. ("Supplier") and Enterprise Client Global ("Customer").</w:t>
      </w:r>
    </w:p>
    <w:p>
      <w:r>
        <w:rPr>
          <w:b/>
          <w:color w:val="0F172A"/>
          <w:sz w:val="26"/>
        </w:rPr>
        <w:t>SECTION 1. DEFINITIONS AND SERVICES</w:t>
      </w:r>
    </w:p>
    <w:p>
      <w:r>
        <w:rPr>
          <w:sz w:val="21"/>
        </w:rPr>
        <w:t>Supplier shall perform the software integration and cloud infrastructure management services described in each applicable Statement of Work executed by the parties. Deliverables shall conform to reasonable commercial standards.</w:t>
      </w:r>
    </w:p>
    <w:p>
      <w:r>
        <w:rPr>
          <w:b/>
          <w:color w:val="0F172A"/>
          <w:sz w:val="26"/>
        </w:rPr>
        <w:t>SECTION 2. PAYMENT TERMS</w:t>
      </w:r>
    </w:p>
    <w:p>
      <w:r>
        <w:rPr>
          <w:sz w:val="21"/>
        </w:rPr>
        <w:t>All invoices rendered by Supplier shall be payable by Customer within fifteen (15) days of receipt. Late payments shall incur interest at the rate of two percent (2.0%) per month or the maximum allowable legal rate.</w:t>
      </w:r>
    </w:p>
    <w:p>
      <w:r>
        <w:rPr>
          <w:b/>
          <w:color w:val="0F172A"/>
          <w:sz w:val="26"/>
        </w:rPr>
        <w:t>SECTION 3. CONFIDENTIALITY</w:t>
      </w:r>
    </w:p>
    <w:p>
      <w:r>
        <w:rPr>
          <w:sz w:val="21"/>
        </w:rPr>
        <w:t>Customer shall hold all proprietary and technical information of Supplier in strict confidence and shall not disclose such information to any third party for a period of five (5) years. This obligation does not apply to Supplier.</w:t>
      </w:r>
    </w:p>
    <w:p>
      <w:r>
        <w:rPr>
          <w:b/>
          <w:color w:val="0F172A"/>
          <w:sz w:val="26"/>
        </w:rPr>
        <w:t>SECTION 4. INTELLECTUAL PROPERTY</w:t>
      </w:r>
    </w:p>
    <w:p>
      <w:r>
        <w:rPr>
          <w:sz w:val="21"/>
        </w:rPr>
        <w:t>All background intellectual property owned by Supplier shall remain the exclusive property of Supplier. Any custom deliverables developed under this Agreement shall be licensed to Customer on a non-exclusive basis.</w:t>
      </w:r>
    </w:p>
    <w:p>
      <w:r>
        <w:rPr>
          <w:b/>
          <w:color w:val="0F172A"/>
          <w:sz w:val="26"/>
        </w:rPr>
        <w:t>SECTION 5. LIMITATION OF LIABILITY</w:t>
      </w:r>
    </w:p>
    <w:p>
      <w:r>
        <w:rPr>
          <w:sz w:val="21"/>
        </w:rPr>
        <w:t>IN NO EVENT SHALL SUPPLIER'S AGGREGATE LIABILITY ARISING OUT OF THIS AGREEMENT EXCEED $5,000. CUSTOMER'S LIABILITY UNDER THIS AGREEMENT SHALL BE WITHOUT LIMITATION. NEITHER PARTY SHALL BE LIABLE FOR INDIRECT, INCIDENTAL, OR CONSEQUENTIAL DAMAGES.</w:t>
      </w:r>
    </w:p>
    <w:p>
      <w:r>
        <w:rPr>
          <w:b/>
          <w:color w:val="0F172A"/>
          <w:sz w:val="26"/>
        </w:rPr>
        <w:t>SECTION 6. INDEMNIFICATION</w:t>
      </w:r>
    </w:p>
    <w:p>
      <w:r>
        <w:rPr>
          <w:sz w:val="21"/>
        </w:rPr>
        <w:t>Customer agrees to defend, indemnify, and hold harmless Supplier, its officers, directors, and employees from and against any and all claims, liabilities, losses, damages, and reasonable attorneys' fees arising out of Customer's use of the Services or breach of this Agreement.</w:t>
      </w:r>
    </w:p>
    <w:p>
      <w:r>
        <w:rPr>
          <w:b/>
          <w:color w:val="0F172A"/>
          <w:sz w:val="26"/>
        </w:rPr>
        <w:t>SECTION 7. TERM AND TERMINATION</w:t>
      </w:r>
    </w:p>
    <w:p>
      <w:r>
        <w:rPr>
          <w:sz w:val="21"/>
        </w:rPr>
        <w:t>This Agreement shall have a term of three (3) years. Neither party may terminate this Agreement for convenience. In the event of material breach, the non-breaching party may terminate this Agreement if the breach is not cured within five (5) business days of written notice.</w:t>
      </w:r>
    </w:p>
    <w:p>
      <w:r>
        <w:rPr>
          <w:b/>
          <w:color w:val="0F172A"/>
          <w:sz w:val="26"/>
        </w:rPr>
        <w:t>SECTION 8. GOVERNING LAW AND JURISDICTION</w:t>
      </w:r>
    </w:p>
    <w:p>
      <w:r>
        <w:rPr>
          <w:sz w:val="21"/>
        </w:rPr>
        <w:t>This Agreement shall be governed by and construed in accordance with the laws of the State of Florida, without regard to conflict of law principles. Any dispute shall be resolved exclusively in the state courts of Miami-Dade County, Florida.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