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2430"/>
          <w:sz w:val="36"/>
        </w:rPr>
        <w:t>FREIGHT AND LOGISTICS SERVICES AGREEMENT</w:t>
      </w:r>
    </w:p>
    <w:p>
      <w:pPr>
        <w:spacing w:after="320"/>
      </w:pPr>
      <w:r>
        <w:rPr>
          <w:rFonts w:ascii="Arial" w:hAnsi="Arial"/>
          <w:color w:val="6E6862"/>
          <w:sz w:val="20"/>
        </w:rPr>
        <w:t>Commercial Warehousing and Cross-Dock Transportation Agreement  |  Entity: Nexus Logistics Enterprise</w:t>
      </w:r>
    </w:p>
    <w:p>
      <w:pPr>
        <w:spacing w:after="320"/>
      </w:pPr>
      <w:r>
        <w:rPr>
          <w:color w:val="DCD7D0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ARTICLE 1. TRANSPORTATION SERVICES AND SLA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Carrier shall provide scheduled refrigerated cross-dock transport across regional distribution hubs. Carrier guarantees an on-time pickup rate of ninety-eight percent (98%) evaluated on a quarterly basis.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ARTICLE 2. RATES, INVOICING AND SURCHARGES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Rates are defined in Schedule A. Payment terms shall be Net sixty (60) days upon receipt of audit-cleared bills of lading. No fuel surcharges shall be imposed without prior written consent.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ARTICLE 3. CARGO LOSS AND LIQUIDATED DAMAGES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Carrier shall be strictly liable for cargo spoilage, theft, or damage up to $1,000,000 per shipment. In the event of delivery delays exceeding 48 hours, Carrier shall pay liquidated damages of $2,500 per day of delay.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ARTICLE 4. CONFIDENTIALITY AND ROUTE DATA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Each party shall treat customer lists, shipping rates, and optimization telemetry as strictly confidential for a term of three (3) years from disclosure.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ARTICLE 5. INDEMNITY FOR REGULATORY COMPLIANCE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Carrier shall defend and indemnify Nexus Logistics from any fines, environmental citations, or vehicular liabilities arising from Carrier's fleet operations or driver statutory violations.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ARTICLE 6. TERMINATION AND CURE PERIOD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Either party may terminate this Agreement for convenience upon sixty (60) days written notice. Material defaults may be cured within thirty (30) days following formal cure notification.</w:t>
      </w:r>
    </w:p>
    <w:p>
      <w:pPr>
        <w:spacing w:before="280" w:after="80"/>
      </w:pPr>
      <w:r>
        <w:rPr>
          <w:rFonts w:ascii="Arial" w:hAnsi="Arial"/>
          <w:b/>
          <w:color w:val="1A2430"/>
          <w:sz w:val="24"/>
        </w:rPr>
        <w:t>ARTICLE 7. GOVERNING LAW AND JURISDICTION</w:t>
      </w:r>
    </w:p>
    <w:p>
      <w:pPr>
        <w:spacing w:after="200" w:line="288" w:lineRule="auto"/>
      </w:pPr>
      <w:r>
        <w:rPr>
          <w:rFonts w:ascii="Georgia" w:hAnsi="Georgia"/>
          <w:color w:val="222120"/>
          <w:sz w:val="21"/>
        </w:rPr>
        <w:t>This Agreement is governed by the laws of the State of Ohio. Any formal dispute shall be adjudicated in the federal courts located in Columbus, Ohio.</w:t>
      </w:r>
    </w:p>
    <w:p>
      <w:pPr>
        <w:spacing w:before="560" w:after="280"/>
      </w:pPr>
      <w:r>
        <w:rPr>
          <w:i/>
          <w:color w:val="6E6862"/>
          <w:sz w:val="20"/>
        </w:rPr>
        <w:t>IN WITNESS WHEREOF, the parties hereto have executed this Agreement by their duly authorized representatives.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>
              <w:t>FOR: NEXUS LOGISTICS ENTERPRISE</w:t>
            </w:r>
          </w:p>
        </w:tc>
        <w:tc>
          <w:tcPr>
            <w:tcW w:type="dxa" w:w="4608"/>
          </w:tcPr>
          <w:p>
            <w:r>
              <w:t>FOR: APEX FREIGHT CARRIERS LLC</w:t>
            </w:r>
          </w:p>
        </w:tc>
      </w:tr>
      <w:tr>
        <w:tc>
          <w:tcPr>
            <w:tcW w:type="dxa" w:w="4608"/>
          </w:tcPr>
          <w:p>
            <w:r>
              <w:t>By: __________________________</w:t>
              <w:br/>
              <w:t>Name: Authorized Officer</w:t>
              <w:br/>
              <w:t>Title: Vice President, Legal</w:t>
            </w:r>
          </w:p>
        </w:tc>
        <w:tc>
          <w:tcPr>
            <w:tcW w:type="dxa" w:w="4608"/>
          </w:tcPr>
          <w:p>
            <w:r>
              <w:t>By: __________________________</w:t>
              <w:br/>
              <w:t>Name: Authorized Signatory</w:t>
              <w:br/>
              <w:t>Title: Managing Director</w:t>
            </w:r>
          </w:p>
        </w:tc>
      </w:tr>
      <w:tr>
        <w:tc>
          <w:tcPr>
            <w:tcW w:type="dxa" w:w="4608"/>
          </w:tcPr>
          <w:p>
            <w:r>
              <w:t>Date: October 26, 2026</w:t>
            </w:r>
          </w:p>
        </w:tc>
        <w:tc>
          <w:tcPr>
            <w:tcW w:type="dxa" w:w="4608"/>
          </w:tcPr>
          <w:p>
            <w:r>
              <w:t>Date: October 26,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