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Arial" w:hAnsi="Arial"/>
          <w:b/>
          <w:color w:val="1A2430"/>
          <w:sz w:val="36"/>
        </w:rPr>
        <w:t>ENTERPRISE SAAS SUBSCRIPTION AGREEMENT</w:t>
      </w:r>
    </w:p>
    <w:p>
      <w:pPr>
        <w:spacing w:after="320"/>
      </w:pPr>
      <w:r>
        <w:rPr>
          <w:rFonts w:ascii="Arial" w:hAnsi="Arial"/>
          <w:color w:val="6E6862"/>
          <w:sz w:val="20"/>
        </w:rPr>
        <w:t>Core Banking Cloud Platform Terms of Service  |  Entity: FinTech Global Systems</w:t>
      </w:r>
    </w:p>
    <w:p>
      <w:pPr>
        <w:spacing w:after="320"/>
      </w:pPr>
      <w:r>
        <w:rPr>
          <w:color w:val="DCD7D0"/>
        </w:rPr>
        <w:t>―――――――――――――――――――――――――――――――――――――――――――――――――――――――</w:t>
      </w:r>
    </w:p>
    <w:p>
      <w:pPr>
        <w:spacing w:before="280" w:after="80"/>
      </w:pPr>
      <w:r>
        <w:rPr>
          <w:rFonts w:ascii="Arial" w:hAnsi="Arial"/>
          <w:b/>
          <w:color w:val="1A2430"/>
          <w:sz w:val="24"/>
        </w:rPr>
        <w:t>SECTION 1. HOSTED SERVICES AND API ACCESS</w:t>
      </w:r>
    </w:p>
    <w:p>
      <w:pPr>
        <w:spacing w:after="200" w:line="288" w:lineRule="auto"/>
      </w:pPr>
      <w:r>
        <w:rPr>
          <w:rFonts w:ascii="Georgia" w:hAnsi="Georgia"/>
          <w:color w:val="222120"/>
          <w:sz w:val="21"/>
        </w:rPr>
        <w:t>Provider grants FinTech Global Systems non-exclusive access to its automated payment clearance gateway and ledger API. Provider guarantees 99.99% monthly system availability excluding scheduled maintenance.</w:t>
      </w:r>
    </w:p>
    <w:p>
      <w:pPr>
        <w:spacing w:before="280" w:after="80"/>
      </w:pPr>
      <w:r>
        <w:rPr>
          <w:rFonts w:ascii="Arial" w:hAnsi="Arial"/>
          <w:b/>
          <w:color w:val="1A2430"/>
          <w:sz w:val="24"/>
        </w:rPr>
        <w:t>SECTION 2. FEES, AUDITS AND BILLING</w:t>
      </w:r>
    </w:p>
    <w:p>
      <w:pPr>
        <w:spacing w:after="200" w:line="288" w:lineRule="auto"/>
      </w:pPr>
      <w:r>
        <w:rPr>
          <w:rFonts w:ascii="Georgia" w:hAnsi="Georgia"/>
          <w:color w:val="222120"/>
          <w:sz w:val="21"/>
        </w:rPr>
        <w:t>Customer shall pay annual platform subscription fees within thirty (30) days of receipt of invoice. Provider reserves the right to audit Customer's transaction volumes annually upon five (5) days advance notice.</w:t>
      </w:r>
    </w:p>
    <w:p>
      <w:pPr>
        <w:spacing w:before="280" w:after="80"/>
      </w:pPr>
      <w:r>
        <w:rPr>
          <w:rFonts w:ascii="Arial" w:hAnsi="Arial"/>
          <w:b/>
          <w:color w:val="1A2430"/>
          <w:sz w:val="24"/>
        </w:rPr>
        <w:t>SECTION 3. DATA PRIVACY AND FINANCIAL RECORDS</w:t>
      </w:r>
    </w:p>
    <w:p>
      <w:pPr>
        <w:spacing w:after="200" w:line="288" w:lineRule="auto"/>
      </w:pPr>
      <w:r>
        <w:rPr>
          <w:rFonts w:ascii="Georgia" w:hAnsi="Georgia"/>
          <w:color w:val="222120"/>
          <w:sz w:val="21"/>
        </w:rPr>
        <w:t>Provider acknowledges that transaction records constitute non-public personal financial information. Provider shall implement SOC 2 Type II controls and ISO 27001 data protection standards.</w:t>
      </w:r>
    </w:p>
    <w:p>
      <w:pPr>
        <w:spacing w:before="280" w:after="80"/>
      </w:pPr>
      <w:r>
        <w:rPr>
          <w:rFonts w:ascii="Arial" w:hAnsi="Arial"/>
          <w:b/>
          <w:color w:val="1A2430"/>
          <w:sz w:val="24"/>
        </w:rPr>
        <w:t>SECTION 4. LIMITATION OF LIABILITY</w:t>
      </w:r>
    </w:p>
    <w:p>
      <w:pPr>
        <w:spacing w:after="200" w:line="288" w:lineRule="auto"/>
      </w:pPr>
      <w:r>
        <w:rPr>
          <w:rFonts w:ascii="Georgia" w:hAnsi="Georgia"/>
          <w:color w:val="222120"/>
          <w:sz w:val="21"/>
        </w:rPr>
        <w:t>PROVIDER'S MAXIMUM LIABILITY ARISING FROM SECURITY BREACHES OR OUTAGES SHALL BE CAPPED AT $100,000. CUSTOMER SHALL INDEMNIFY PROVIDER FOR ALL REGULATORY PENALTIES IMPOSED BY BANKING COMMISSIONS.</w:t>
      </w:r>
    </w:p>
    <w:p>
      <w:pPr>
        <w:spacing w:before="280" w:after="80"/>
      </w:pPr>
      <w:r>
        <w:rPr>
          <w:rFonts w:ascii="Arial" w:hAnsi="Arial"/>
          <w:b/>
          <w:color w:val="1A2430"/>
          <w:sz w:val="24"/>
        </w:rPr>
        <w:t>SECTION 5. TERM, TERMINATION AND TRANSITION</w:t>
      </w:r>
    </w:p>
    <w:p>
      <w:pPr>
        <w:spacing w:after="200" w:line="288" w:lineRule="auto"/>
      </w:pPr>
      <w:r>
        <w:rPr>
          <w:rFonts w:ascii="Georgia" w:hAnsi="Georgia"/>
          <w:color w:val="222120"/>
          <w:sz w:val="21"/>
        </w:rPr>
        <w:t>Initial term is five (5) years with automatic renewal. Neither party may terminate for convenience. In the event of system non-performance, Customer may terminate only after a sixty (60) day cure window.</w:t>
      </w:r>
    </w:p>
    <w:p>
      <w:pPr>
        <w:spacing w:before="280" w:after="80"/>
      </w:pPr>
      <w:r>
        <w:rPr>
          <w:rFonts w:ascii="Arial" w:hAnsi="Arial"/>
          <w:b/>
          <w:color w:val="1A2430"/>
          <w:sz w:val="24"/>
        </w:rPr>
        <w:t>SECTION 6. GOVERNING LAW AND ARBITRATION</w:t>
      </w:r>
    </w:p>
    <w:p>
      <w:pPr>
        <w:spacing w:after="200" w:line="288" w:lineRule="auto"/>
      </w:pPr>
      <w:r>
        <w:rPr>
          <w:rFonts w:ascii="Georgia" w:hAnsi="Georgia"/>
          <w:color w:val="222120"/>
          <w:sz w:val="21"/>
        </w:rPr>
        <w:t>This Agreement shall be construed under the laws of the State of New York. Disputes exceeding $250,000 shall be submitted to confidential binding arbitration in New York City.</w:t>
      </w:r>
    </w:p>
    <w:p>
      <w:pPr>
        <w:spacing w:before="560" w:after="280"/>
      </w:pPr>
      <w:r>
        <w:rPr>
          <w:i/>
          <w:color w:val="6E6862"/>
          <w:sz w:val="20"/>
        </w:rPr>
        <w:t>IN WITNESS WHEREOF, the parties hereto have executed this Agreement by their duly authorized representatives.</w:t>
      </w:r>
    </w:p>
    <w:tbl>
      <w:tblPr>
        <w:tblW w:type="auto" w:w="0"/>
        <w:tblLayout w:type="autofit"/>
        <w:tblLook w:firstColumn="1" w:firstRow="1" w:lastColumn="0" w:lastRow="0" w:noHBand="0" w:noVBand="1" w:val="04A0"/>
      </w:tblPr>
      <w:tblGrid>
        <w:gridCol w:w="4320"/>
        <w:gridCol w:w="4320"/>
      </w:tblGrid>
      <w:tr>
        <w:tc>
          <w:tcPr>
            <w:tcW w:type="dxa" w:w="4608"/>
          </w:tcPr>
          <w:p>
            <w:r>
              <w:t>FOR: FINTECH GLOBAL SYSTEMS</w:t>
            </w:r>
          </w:p>
        </w:tc>
        <w:tc>
          <w:tcPr>
            <w:tcW w:type="dxa" w:w="4608"/>
          </w:tcPr>
          <w:p>
            <w:r>
              <w:t>FOR: PAYLEDGER CLOUD SOLUTIONS CORP</w:t>
            </w:r>
          </w:p>
        </w:tc>
      </w:tr>
      <w:tr>
        <w:tc>
          <w:tcPr>
            <w:tcW w:type="dxa" w:w="4608"/>
          </w:tcPr>
          <w:p>
            <w:r>
              <w:t>By: __________________________</w:t>
              <w:br/>
              <w:t>Name: Authorized Officer</w:t>
              <w:br/>
              <w:t>Title: Vice President, Legal</w:t>
            </w:r>
          </w:p>
        </w:tc>
        <w:tc>
          <w:tcPr>
            <w:tcW w:type="dxa" w:w="4608"/>
          </w:tcPr>
          <w:p>
            <w:r>
              <w:t>By: __________________________</w:t>
              <w:br/>
              <w:t>Name: Authorized Signatory</w:t>
              <w:br/>
              <w:t>Title: Managing Director</w:t>
            </w:r>
          </w:p>
        </w:tc>
      </w:tr>
      <w:tr>
        <w:tc>
          <w:tcPr>
            <w:tcW w:type="dxa" w:w="4608"/>
          </w:tcPr>
          <w:p>
            <w:r>
              <w:t>Date: October 26, 2026</w:t>
            </w:r>
          </w:p>
        </w:tc>
        <w:tc>
          <w:tcPr>
            <w:tcW w:type="dxa" w:w="4608"/>
          </w:tcPr>
          <w:p>
            <w:r>
              <w:t>Date: October 26, 2026</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