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 – Workplace Harassment Survey</w:t>
      </w:r>
    </w:p>
    <w:p>
      <w:r>
        <w:br/>
        <w:t>Executive Summary</w:t>
        <w:br/>
        <w:br/>
        <w:t>Of the 61 respondents, 56 (91.8%) are aware of what constitutes workplace harassment.</w:t>
        <w:br/>
        <w:br/>
        <w:t>Chi-square test between 'Are_you_aware_of_what_constitutes_workplace_harassment' and 'Do_you_know_whom_to_report_workplace_harassment_incidents_to': χ² = 4.57, p = 0.1017 (dof=2)</w:t>
        <w:br/>
        <w:br/>
        <w:t>Chi-square test between 'Training' and 'Know_Whom': No data available for chi-square test.</w:t>
        <w:br/>
        <w:br/>
        <w:t>Chi-square test between 'What_is_your_Gender' and 'Are_you_aware_of_what_constitutes_workplace_harassment': χ² = 1.76, p = 0.7796 (dof=4)</w:t>
        <w:br/>
      </w:r>
    </w:p>
    <w:p>
      <w:pPr>
        <w:pStyle w:val="Heading2"/>
      </w:pPr>
      <w:r>
        <w:t>Recommendations</w:t>
      </w:r>
    </w:p>
    <w:p>
      <w:r>
        <w:br/>
        <w:t>1. Mandatory Training: Formal training on harassment policies should be made mandatory for all employees.</w:t>
        <w:br/>
        <w:t>2. Clear Reporting Channels: Ensure all employees know whom to contact in case of harassment.</w:t>
        <w:br/>
        <w:t>3. Gender-Sensitive Communication: Address awareness gaps by tailoring outreach strategies.</w:t>
        <w:br/>
        <w:t>4. Continuous Learning: Reinforce knowledge with scheduled refresher courses.</w:t>
        <w:br/>
        <w:t>5. Visible Policy Access: Make policy documents easy to access for all staff.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