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48"/>
          <w:szCs w:val="48"/>
        </w:rPr>
        <w:t xml:space="preserve">Acceptable Use Policy</w:t>
      </w:r>
    </w:p>
    <w:p>
      <w:pPr>
        <w:spacing w:after="400"/>
        <w:jc w:val="center"/>
      </w:pPr>
      <w:r>
        <w:rPr>
          <w:rFonts w:ascii="Arial" w:cs="Arial" w:eastAsia="Arial" w:hAnsi="Arial"/>
          <w:i/>
          <w:iCs/>
          <w:color w:val="2E75B6"/>
          <w:sz w:val="26"/>
          <w:szCs w:val="26"/>
        </w:rPr>
        <w:t xml:space="preserve">Governing the Responsible Use of Information Technology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POL-001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Owner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Information Security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Internal Use Only</w:t>
            </w:r>
          </w:p>
        </w:tc>
      </w:tr>
    </w:tbl>
    <w:p>
      <w:pPr>
        <w:spacing w:after="80"/>
      </w:pPr>
      <w:r>
        <w:t xml:space="preserve"/>
      </w:r>
    </w:p>
    <w:p>
      <w:pPr>
        <w:spacing w:after="80"/>
      </w:pPr>
      <w:r>
        <w:t xml:space="preserve"/>
      </w: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Acceptable Use Policy (AUP) defines the rules and guidelines for the appropriate use of the organization's information technology (IT) resources. The goal is to protect the organization, its employees, its clients, and its data from harm caused by misuse of IT systems and assets.</w:t>
      </w:r>
    </w:p>
    <w:p>
      <w:pPr>
        <w:spacing w:after="80"/>
      </w:pPr>
      <w:r>
        <w:t xml:space="preserve"/>
      </w:r>
    </w:p>
    <w:p>
      <w:pPr>
        <w:pStyle w:val="Heading1"/>
      </w:pPr>
      <w:r>
        <w:rPr>
          <w:rFonts w:ascii="Arial" w:cs="Arial" w:eastAsia="Arial" w:hAnsi="Arial"/>
        </w:rPr>
        <w:t xml:space="preserve">2. Scope</w:t>
      </w:r>
    </w:p>
    <w:p>
      <w:pPr>
        <w:spacing w:after="120"/>
      </w:pPr>
      <w:r>
        <w:rPr>
          <w:rFonts w:ascii="Arial" w:cs="Arial" w:eastAsia="Arial" w:hAnsi="Arial"/>
          <w:sz w:val="22"/>
          <w:szCs w:val="22"/>
        </w:rPr>
        <w:t xml:space="preserve">This policy applies to:</w:t>
      </w:r>
    </w:p>
    <w:p>
      <w:pPr>
        <w:pStyle w:val="ListParagraph"/>
        <w:numPr>
          <w:ilvl w:val="0"/>
          <w:numId w:val="2"/>
        </w:numPr>
        <w:spacing w:after="80"/>
      </w:pPr>
      <w:r>
        <w:rPr>
          <w:rFonts w:ascii="Arial" w:cs="Arial" w:eastAsia="Arial" w:hAnsi="Arial"/>
          <w:b w:val="false"/>
          <w:bCs w:val="false"/>
          <w:sz w:val="22"/>
          <w:szCs w:val="22"/>
        </w:rPr>
        <w:t xml:space="preserve">All full-time and part-time employees</w:t>
      </w:r>
    </w:p>
    <w:p>
      <w:pPr>
        <w:pStyle w:val="ListParagraph"/>
        <w:numPr>
          <w:ilvl w:val="0"/>
          <w:numId w:val="2"/>
        </w:numPr>
        <w:spacing w:after="80"/>
      </w:pPr>
      <w:r>
        <w:rPr>
          <w:rFonts w:ascii="Arial" w:cs="Arial" w:eastAsia="Arial" w:hAnsi="Arial"/>
          <w:b w:val="false"/>
          <w:bCs w:val="false"/>
          <w:sz w:val="22"/>
          <w:szCs w:val="22"/>
        </w:rPr>
        <w:t xml:space="preserve">Contractors, consultants, and third-party vendors</w:t>
      </w:r>
    </w:p>
    <w:p>
      <w:pPr>
        <w:pStyle w:val="ListParagraph"/>
        <w:numPr>
          <w:ilvl w:val="0"/>
          <w:numId w:val="2"/>
        </w:numPr>
        <w:spacing w:after="80"/>
      </w:pPr>
      <w:r>
        <w:rPr>
          <w:rFonts w:ascii="Arial" w:cs="Arial" w:eastAsia="Arial" w:hAnsi="Arial"/>
          <w:b w:val="false"/>
          <w:bCs w:val="false"/>
          <w:sz w:val="22"/>
          <w:szCs w:val="22"/>
        </w:rPr>
        <w:t xml:space="preserve">Interns and temporary staff</w:t>
      </w:r>
    </w:p>
    <w:p>
      <w:pPr>
        <w:pStyle w:val="ListParagraph"/>
        <w:numPr>
          <w:ilvl w:val="0"/>
          <w:numId w:val="2"/>
        </w:numPr>
        <w:spacing w:after="80"/>
      </w:pPr>
      <w:r>
        <w:rPr>
          <w:rFonts w:ascii="Arial" w:cs="Arial" w:eastAsia="Arial" w:hAnsi="Arial"/>
          <w:b w:val="false"/>
          <w:bCs w:val="false"/>
          <w:sz w:val="22"/>
          <w:szCs w:val="22"/>
        </w:rPr>
        <w:t xml:space="preserve">Any individual granted access to organizational IT resources</w:t>
      </w:r>
    </w:p>
    <w:p>
      <w:pPr>
        <w:spacing w:after="80"/>
      </w:pPr>
      <w:r>
        <w:t xml:space="preserve"/>
      </w:r>
    </w:p>
    <w:p>
      <w:pPr>
        <w:spacing w:after="120"/>
      </w:pPr>
      <w:r>
        <w:rPr>
          <w:rFonts w:ascii="Arial" w:cs="Arial" w:eastAsia="Arial" w:hAnsi="Arial"/>
          <w:sz w:val="22"/>
          <w:szCs w:val="22"/>
        </w:rPr>
        <w:t xml:space="preserve">IT resources covered include:</w:t>
      </w:r>
    </w:p>
    <w:p>
      <w:pPr>
        <w:pStyle w:val="ListParagraph"/>
        <w:numPr>
          <w:ilvl w:val="0"/>
          <w:numId w:val="2"/>
        </w:numPr>
        <w:spacing w:after="80"/>
      </w:pPr>
      <w:r>
        <w:rPr>
          <w:rFonts w:ascii="Arial" w:cs="Arial" w:eastAsia="Arial" w:hAnsi="Arial"/>
          <w:b w:val="false"/>
          <w:bCs w:val="false"/>
          <w:sz w:val="22"/>
          <w:szCs w:val="22"/>
        </w:rPr>
        <w:t xml:space="preserve">Computers, laptops, mobile devices, and servers</w:t>
      </w:r>
    </w:p>
    <w:p>
      <w:pPr>
        <w:pStyle w:val="ListParagraph"/>
        <w:numPr>
          <w:ilvl w:val="0"/>
          <w:numId w:val="2"/>
        </w:numPr>
        <w:spacing w:after="80"/>
      </w:pPr>
      <w:r>
        <w:rPr>
          <w:rFonts w:ascii="Arial" w:cs="Arial" w:eastAsia="Arial" w:hAnsi="Arial"/>
          <w:b w:val="false"/>
          <w:bCs w:val="false"/>
          <w:sz w:val="22"/>
          <w:szCs w:val="22"/>
        </w:rPr>
        <w:t xml:space="preserve">Network infrastructure (Wi-Fi, VPN, LAN)</w:t>
      </w:r>
    </w:p>
    <w:p>
      <w:pPr>
        <w:pStyle w:val="ListParagraph"/>
        <w:numPr>
          <w:ilvl w:val="0"/>
          <w:numId w:val="2"/>
        </w:numPr>
        <w:spacing w:after="80"/>
      </w:pPr>
      <w:r>
        <w:rPr>
          <w:rFonts w:ascii="Arial" w:cs="Arial" w:eastAsia="Arial" w:hAnsi="Arial"/>
          <w:b w:val="false"/>
          <w:bCs w:val="false"/>
          <w:sz w:val="22"/>
          <w:szCs w:val="22"/>
        </w:rPr>
        <w:t xml:space="preserve">Software applications and cloud services</w:t>
      </w:r>
    </w:p>
    <w:p>
      <w:pPr>
        <w:pStyle w:val="ListParagraph"/>
        <w:numPr>
          <w:ilvl w:val="0"/>
          <w:numId w:val="2"/>
        </w:numPr>
        <w:spacing w:after="80"/>
      </w:pPr>
      <w:r>
        <w:rPr>
          <w:rFonts w:ascii="Arial" w:cs="Arial" w:eastAsia="Arial" w:hAnsi="Arial"/>
          <w:b w:val="false"/>
          <w:bCs w:val="false"/>
          <w:sz w:val="22"/>
          <w:szCs w:val="22"/>
        </w:rPr>
        <w:t xml:space="preserve">Email systems and communication tools</w:t>
      </w:r>
    </w:p>
    <w:p>
      <w:pPr>
        <w:pStyle w:val="ListParagraph"/>
        <w:numPr>
          <w:ilvl w:val="0"/>
          <w:numId w:val="2"/>
        </w:numPr>
        <w:spacing w:after="80"/>
      </w:pPr>
      <w:r>
        <w:rPr>
          <w:rFonts w:ascii="Arial" w:cs="Arial" w:eastAsia="Arial" w:hAnsi="Arial"/>
          <w:b w:val="false"/>
          <w:bCs w:val="false"/>
          <w:sz w:val="22"/>
          <w:szCs w:val="22"/>
        </w:rPr>
        <w:t xml:space="preserve">Data, databases, and file storage systems</w:t>
      </w:r>
    </w:p>
    <w:p>
      <w:pPr>
        <w:spacing w:after="80"/>
      </w:pPr>
      <w:r>
        <w:t xml:space="preserve"/>
      </w:r>
    </w:p>
    <w:p>
      <w:pPr>
        <w:pStyle w:val="Heading1"/>
      </w:pPr>
      <w:r>
        <w:rPr>
          <w:rFonts w:ascii="Arial" w:cs="Arial" w:eastAsia="Arial" w:hAnsi="Arial"/>
        </w:rPr>
        <w:t xml:space="preserve">3. Policy Statements</w:t>
      </w:r>
    </w:p>
    <w:p>
      <w:pPr>
        <w:pStyle w:val="Heading2"/>
      </w:pPr>
      <w:r>
        <w:rPr>
          <w:rFonts w:ascii="Arial" w:cs="Arial" w:eastAsia="Arial" w:hAnsi="Arial"/>
        </w:rPr>
        <w:t xml:space="preserve">3.1 Authorized Use</w:t>
      </w:r>
    </w:p>
    <w:p>
      <w:pPr>
        <w:spacing w:after="120"/>
      </w:pPr>
      <w:r>
        <w:rPr>
          <w:rFonts w:ascii="Arial" w:cs="Arial" w:eastAsia="Arial" w:hAnsi="Arial"/>
          <w:sz w:val="22"/>
          <w:szCs w:val="22"/>
        </w:rPr>
        <w:t xml:space="preserve">IT resources are provided for legitimate business purposes. Limited personal use is permitted provided it does not:</w:t>
      </w:r>
    </w:p>
    <w:p>
      <w:pPr>
        <w:pStyle w:val="ListParagraph"/>
        <w:numPr>
          <w:ilvl w:val="0"/>
          <w:numId w:val="2"/>
        </w:numPr>
        <w:spacing w:after="80"/>
      </w:pPr>
      <w:r>
        <w:rPr>
          <w:rFonts w:ascii="Arial" w:cs="Arial" w:eastAsia="Arial" w:hAnsi="Arial"/>
          <w:b w:val="false"/>
          <w:bCs w:val="false"/>
          <w:sz w:val="22"/>
          <w:szCs w:val="22"/>
        </w:rPr>
        <w:t xml:space="preserve">Interfere with job responsibilities or productivity</w:t>
      </w:r>
    </w:p>
    <w:p>
      <w:pPr>
        <w:pStyle w:val="ListParagraph"/>
        <w:numPr>
          <w:ilvl w:val="0"/>
          <w:numId w:val="2"/>
        </w:numPr>
        <w:spacing w:after="80"/>
      </w:pPr>
      <w:r>
        <w:rPr>
          <w:rFonts w:ascii="Arial" w:cs="Arial" w:eastAsia="Arial" w:hAnsi="Arial"/>
          <w:b w:val="false"/>
          <w:bCs w:val="false"/>
          <w:sz w:val="22"/>
          <w:szCs w:val="22"/>
        </w:rPr>
        <w:t xml:space="preserve">Consume excessive bandwidth or system resources</w:t>
      </w:r>
    </w:p>
    <w:p>
      <w:pPr>
        <w:pStyle w:val="ListParagraph"/>
        <w:numPr>
          <w:ilvl w:val="0"/>
          <w:numId w:val="2"/>
        </w:numPr>
        <w:spacing w:after="80"/>
      </w:pPr>
      <w:r>
        <w:rPr>
          <w:rFonts w:ascii="Arial" w:cs="Arial" w:eastAsia="Arial" w:hAnsi="Arial"/>
          <w:b w:val="false"/>
          <w:bCs w:val="false"/>
          <w:sz w:val="22"/>
          <w:szCs w:val="22"/>
        </w:rPr>
        <w:t xml:space="preserve">Violate any other provision of this policy</w:t>
      </w:r>
    </w:p>
    <w:p>
      <w:pPr>
        <w:spacing w:after="80"/>
      </w:pPr>
      <w:r>
        <w:t xml:space="preserve"/>
      </w:r>
    </w:p>
    <w:p>
      <w:pPr>
        <w:pStyle w:val="Heading2"/>
      </w:pPr>
      <w:r>
        <w:rPr>
          <w:rFonts w:ascii="Arial" w:cs="Arial" w:eastAsia="Arial" w:hAnsi="Arial"/>
        </w:rPr>
        <w:t xml:space="preserve">3.2 Prohibited Activities</w:t>
      </w:r>
    </w:p>
    <w:p>
      <w:pPr>
        <w:spacing w:after="120"/>
      </w:pPr>
      <w:r>
        <w:rPr>
          <w:rFonts w:ascii="Arial" w:cs="Arial" w:eastAsia="Arial" w:hAnsi="Arial"/>
          <w:sz w:val="22"/>
          <w:szCs w:val="22"/>
        </w:rPr>
        <w:t xml:space="preserve">The following activities are strictly prohibited:</w:t>
      </w:r>
    </w:p>
    <w:p>
      <w:pPr>
        <w:pStyle w:val="ListParagraph"/>
        <w:numPr>
          <w:ilvl w:val="0"/>
          <w:numId w:val="2"/>
        </w:numPr>
        <w:spacing w:after="80"/>
      </w:pPr>
      <w:r>
        <w:rPr>
          <w:rFonts w:ascii="Arial" w:cs="Arial" w:eastAsia="Arial" w:hAnsi="Arial"/>
          <w:b w:val="false"/>
          <w:bCs w:val="false"/>
          <w:sz w:val="22"/>
          <w:szCs w:val="22"/>
        </w:rPr>
        <w:t xml:space="preserve">Unauthorized access — Attempting to access systems, accounts, or data without explicit authorization</w:t>
      </w:r>
    </w:p>
    <w:p>
      <w:pPr>
        <w:pStyle w:val="ListParagraph"/>
        <w:numPr>
          <w:ilvl w:val="0"/>
          <w:numId w:val="2"/>
        </w:numPr>
        <w:spacing w:after="80"/>
      </w:pPr>
      <w:r>
        <w:rPr>
          <w:rFonts w:ascii="Arial" w:cs="Arial" w:eastAsia="Arial" w:hAnsi="Arial"/>
          <w:b w:val="false"/>
          <w:bCs w:val="false"/>
          <w:sz w:val="22"/>
          <w:szCs w:val="22"/>
        </w:rPr>
        <w:t xml:space="preserve">Malware distribution — Installing or knowingly spreading viruses, spyware, ransomware, or other malicious software</w:t>
      </w:r>
    </w:p>
    <w:p>
      <w:pPr>
        <w:pStyle w:val="ListParagraph"/>
        <w:numPr>
          <w:ilvl w:val="0"/>
          <w:numId w:val="2"/>
        </w:numPr>
        <w:spacing w:after="80"/>
      </w:pPr>
      <w:r>
        <w:rPr>
          <w:rFonts w:ascii="Arial" w:cs="Arial" w:eastAsia="Arial" w:hAnsi="Arial"/>
          <w:b w:val="false"/>
          <w:bCs w:val="false"/>
          <w:sz w:val="22"/>
          <w:szCs w:val="22"/>
        </w:rPr>
        <w:t xml:space="preserve">Harassment — Using IT resources to send threatening, abusive, or discriminatory messages</w:t>
      </w:r>
    </w:p>
    <w:p>
      <w:pPr>
        <w:pStyle w:val="ListParagraph"/>
        <w:numPr>
          <w:ilvl w:val="0"/>
          <w:numId w:val="2"/>
        </w:numPr>
        <w:spacing w:after="80"/>
      </w:pPr>
      <w:r>
        <w:rPr>
          <w:rFonts w:ascii="Arial" w:cs="Arial" w:eastAsia="Arial" w:hAnsi="Arial"/>
          <w:b w:val="false"/>
          <w:bCs w:val="false"/>
          <w:sz w:val="22"/>
          <w:szCs w:val="22"/>
        </w:rPr>
        <w:t xml:space="preserve">Illegal activities — Using systems for any activity that violates local, national, or international law</w:t>
      </w:r>
    </w:p>
    <w:p>
      <w:pPr>
        <w:pStyle w:val="ListParagraph"/>
        <w:numPr>
          <w:ilvl w:val="0"/>
          <w:numId w:val="2"/>
        </w:numPr>
        <w:spacing w:after="80"/>
      </w:pPr>
      <w:r>
        <w:rPr>
          <w:rFonts w:ascii="Arial" w:cs="Arial" w:eastAsia="Arial" w:hAnsi="Arial"/>
          <w:b w:val="false"/>
          <w:bCs w:val="false"/>
          <w:sz w:val="22"/>
          <w:szCs w:val="22"/>
        </w:rPr>
        <w:t xml:space="preserve">Data theft — Copying, transferring, or leaking confidential organizational data without authorization</w:t>
      </w:r>
    </w:p>
    <w:p>
      <w:pPr>
        <w:pStyle w:val="ListParagraph"/>
        <w:numPr>
          <w:ilvl w:val="0"/>
          <w:numId w:val="2"/>
        </w:numPr>
        <w:spacing w:after="80"/>
      </w:pPr>
      <w:r>
        <w:rPr>
          <w:rFonts w:ascii="Arial" w:cs="Arial" w:eastAsia="Arial" w:hAnsi="Arial"/>
          <w:b w:val="false"/>
          <w:bCs w:val="false"/>
          <w:sz w:val="22"/>
          <w:szCs w:val="22"/>
        </w:rPr>
        <w:t xml:space="preserve">Circumventing security — Disabling firewalls, antivirus tools, or other security controls</w:t>
      </w:r>
    </w:p>
    <w:p>
      <w:pPr>
        <w:pStyle w:val="ListParagraph"/>
        <w:numPr>
          <w:ilvl w:val="0"/>
          <w:numId w:val="2"/>
        </w:numPr>
        <w:spacing w:after="80"/>
      </w:pPr>
      <w:r>
        <w:rPr>
          <w:rFonts w:ascii="Arial" w:cs="Arial" w:eastAsia="Arial" w:hAnsi="Arial"/>
          <w:b w:val="false"/>
          <w:bCs w:val="false"/>
          <w:sz w:val="22"/>
          <w:szCs w:val="22"/>
        </w:rPr>
        <w:t xml:space="preserve">Unauthorized software — Installing unlicensed or unapproved software on organizational devices</w:t>
      </w:r>
    </w:p>
    <w:p>
      <w:pPr>
        <w:pStyle w:val="ListParagraph"/>
        <w:numPr>
          <w:ilvl w:val="0"/>
          <w:numId w:val="2"/>
        </w:numPr>
        <w:spacing w:after="80"/>
      </w:pPr>
      <w:r>
        <w:rPr>
          <w:rFonts w:ascii="Arial" w:cs="Arial" w:eastAsia="Arial" w:hAnsi="Arial"/>
          <w:b w:val="false"/>
          <w:bCs w:val="false"/>
          <w:sz w:val="22"/>
          <w:szCs w:val="22"/>
        </w:rPr>
        <w:t xml:space="preserve">Cryptocurrency mining — Using organizational resources for personal financial gain</w:t>
      </w:r>
    </w:p>
    <w:p>
      <w:pPr>
        <w:spacing w:after="80"/>
      </w:pPr>
      <w:r>
        <w:t xml:space="preserve"/>
      </w:r>
    </w:p>
    <w:p>
      <w:pPr>
        <w:pStyle w:val="Heading2"/>
      </w:pPr>
      <w:r>
        <w:rPr>
          <w:rFonts w:ascii="Arial" w:cs="Arial" w:eastAsia="Arial" w:hAnsi="Arial"/>
        </w:rPr>
        <w:t xml:space="preserve">3.3 Internet and Email Use</w:t>
      </w:r>
    </w:p>
    <w:p>
      <w:pPr>
        <w:pStyle w:val="ListParagraph"/>
        <w:numPr>
          <w:ilvl w:val="0"/>
          <w:numId w:val="2"/>
        </w:numPr>
        <w:spacing w:after="80"/>
      </w:pPr>
      <w:r>
        <w:rPr>
          <w:rFonts w:ascii="Arial" w:cs="Arial" w:eastAsia="Arial" w:hAnsi="Arial"/>
          <w:b w:val="false"/>
          <w:bCs w:val="false"/>
          <w:sz w:val="22"/>
          <w:szCs w:val="22"/>
        </w:rPr>
        <w:t xml:space="preserve">Users must not visit websites that host illegal, offensive, or malicious content</w:t>
      </w:r>
    </w:p>
    <w:p>
      <w:pPr>
        <w:pStyle w:val="ListParagraph"/>
        <w:numPr>
          <w:ilvl w:val="0"/>
          <w:numId w:val="2"/>
        </w:numPr>
        <w:spacing w:after="80"/>
      </w:pPr>
      <w:r>
        <w:rPr>
          <w:rFonts w:ascii="Arial" w:cs="Arial" w:eastAsia="Arial" w:hAnsi="Arial"/>
          <w:b w:val="false"/>
          <w:bCs w:val="false"/>
          <w:sz w:val="22"/>
          <w:szCs w:val="22"/>
        </w:rPr>
        <w:t xml:space="preserve">Phishing emails must be reported to the IT Security team immediately</w:t>
      </w:r>
    </w:p>
    <w:p>
      <w:pPr>
        <w:pStyle w:val="ListParagraph"/>
        <w:numPr>
          <w:ilvl w:val="0"/>
          <w:numId w:val="2"/>
        </w:numPr>
        <w:spacing w:after="80"/>
      </w:pPr>
      <w:r>
        <w:rPr>
          <w:rFonts w:ascii="Arial" w:cs="Arial" w:eastAsia="Arial" w:hAnsi="Arial"/>
          <w:b w:val="false"/>
          <w:bCs w:val="false"/>
          <w:sz w:val="22"/>
          <w:szCs w:val="22"/>
        </w:rPr>
        <w:t xml:space="preserve">Organizational email accounts must not be used for personal mailing lists or spam</w:t>
      </w:r>
    </w:p>
    <w:p>
      <w:pPr>
        <w:pStyle w:val="ListParagraph"/>
        <w:numPr>
          <w:ilvl w:val="0"/>
          <w:numId w:val="2"/>
        </w:numPr>
        <w:spacing w:after="80"/>
      </w:pPr>
      <w:r>
        <w:rPr>
          <w:rFonts w:ascii="Arial" w:cs="Arial" w:eastAsia="Arial" w:hAnsi="Arial"/>
          <w:b w:val="false"/>
          <w:bCs w:val="false"/>
          <w:sz w:val="22"/>
          <w:szCs w:val="22"/>
        </w:rPr>
        <w:t xml:space="preserve">Attachments from unknown senders must not be opened without IT verification</w:t>
      </w:r>
    </w:p>
    <w:p>
      <w:pPr>
        <w:spacing w:after="80"/>
      </w:pPr>
      <w:r>
        <w:t xml:space="preserve"/>
      </w:r>
    </w:p>
    <w:p>
      <w:pPr>
        <w:pStyle w:val="Heading2"/>
      </w:pPr>
      <w:r>
        <w:rPr>
          <w:rFonts w:ascii="Arial" w:cs="Arial" w:eastAsia="Arial" w:hAnsi="Arial"/>
        </w:rPr>
        <w:t xml:space="preserve">3.4 Remote Work and Personal Devices</w:t>
      </w:r>
    </w:p>
    <w:p>
      <w:pPr>
        <w:pStyle w:val="ListParagraph"/>
        <w:numPr>
          <w:ilvl w:val="0"/>
          <w:numId w:val="2"/>
        </w:numPr>
        <w:spacing w:after="80"/>
      </w:pPr>
      <w:r>
        <w:rPr>
          <w:rFonts w:ascii="Arial" w:cs="Arial" w:eastAsia="Arial" w:hAnsi="Arial"/>
          <w:b w:val="false"/>
          <w:bCs w:val="false"/>
          <w:sz w:val="22"/>
          <w:szCs w:val="22"/>
        </w:rPr>
        <w:t xml:space="preserve">Remote workers must connect via the approved VPN at all times when accessing organizational resources</w:t>
      </w:r>
    </w:p>
    <w:p>
      <w:pPr>
        <w:pStyle w:val="ListParagraph"/>
        <w:numPr>
          <w:ilvl w:val="0"/>
          <w:numId w:val="2"/>
        </w:numPr>
        <w:spacing w:after="80"/>
      </w:pPr>
      <w:r>
        <w:rPr>
          <w:rFonts w:ascii="Arial" w:cs="Arial" w:eastAsia="Arial" w:hAnsi="Arial"/>
          <w:b w:val="false"/>
          <w:bCs w:val="false"/>
          <w:sz w:val="22"/>
          <w:szCs w:val="22"/>
        </w:rPr>
        <w:t xml:space="preserve">Personal devices used for work must have up-to-date antivirus software and OS patches</w:t>
      </w:r>
    </w:p>
    <w:p>
      <w:pPr>
        <w:pStyle w:val="ListParagraph"/>
        <w:numPr>
          <w:ilvl w:val="0"/>
          <w:numId w:val="2"/>
        </w:numPr>
        <w:spacing w:after="80"/>
      </w:pPr>
      <w:r>
        <w:rPr>
          <w:rFonts w:ascii="Arial" w:cs="Arial" w:eastAsia="Arial" w:hAnsi="Arial"/>
          <w:b w:val="false"/>
          <w:bCs w:val="false"/>
          <w:sz w:val="22"/>
          <w:szCs w:val="22"/>
        </w:rPr>
        <w:t xml:space="preserve">Organizational data must not be stored on personal cloud services (e.g., personal Google Drive, Dropbox) without authorization</w:t>
      </w:r>
    </w:p>
    <w:p>
      <w:pPr>
        <w:spacing w:after="80"/>
      </w:pPr>
      <w:r>
        <w:t xml:space="preserve"/>
      </w:r>
    </w:p>
    <w:p>
      <w:pPr>
        <w:pStyle w:val="Heading2"/>
      </w:pPr>
      <w:r>
        <w:rPr>
          <w:rFonts w:ascii="Arial" w:cs="Arial" w:eastAsia="Arial" w:hAnsi="Arial"/>
        </w:rPr>
        <w:t xml:space="preserve">3.5 Social Media</w:t>
      </w:r>
    </w:p>
    <w:p>
      <w:pPr>
        <w:pStyle w:val="ListParagraph"/>
        <w:numPr>
          <w:ilvl w:val="0"/>
          <w:numId w:val="2"/>
        </w:numPr>
        <w:spacing w:after="80"/>
      </w:pPr>
      <w:r>
        <w:rPr>
          <w:rFonts w:ascii="Arial" w:cs="Arial" w:eastAsia="Arial" w:hAnsi="Arial"/>
          <w:b w:val="false"/>
          <w:bCs w:val="false"/>
          <w:sz w:val="22"/>
          <w:szCs w:val="22"/>
        </w:rPr>
        <w:t xml:space="preserve">Employees must not post confidential organizational information on any social media platform</w:t>
      </w:r>
    </w:p>
    <w:p>
      <w:pPr>
        <w:pStyle w:val="ListParagraph"/>
        <w:numPr>
          <w:ilvl w:val="0"/>
          <w:numId w:val="2"/>
        </w:numPr>
        <w:spacing w:after="80"/>
      </w:pPr>
      <w:r>
        <w:rPr>
          <w:rFonts w:ascii="Arial" w:cs="Arial" w:eastAsia="Arial" w:hAnsi="Arial"/>
          <w:b w:val="false"/>
          <w:bCs w:val="false"/>
          <w:sz w:val="22"/>
          <w:szCs w:val="22"/>
        </w:rPr>
        <w:t xml:space="preserve">Employees must not represent personal opinions as those of the organization</w:t>
      </w:r>
    </w:p>
    <w:p>
      <w:pPr>
        <w:pStyle w:val="ListParagraph"/>
        <w:numPr>
          <w:ilvl w:val="0"/>
          <w:numId w:val="2"/>
        </w:numPr>
        <w:spacing w:after="80"/>
      </w:pPr>
      <w:r>
        <w:rPr>
          <w:rFonts w:ascii="Arial" w:cs="Arial" w:eastAsia="Arial" w:hAnsi="Arial"/>
          <w:b w:val="false"/>
          <w:bCs w:val="false"/>
          <w:sz w:val="22"/>
          <w:szCs w:val="22"/>
        </w:rPr>
        <w:t xml:space="preserve">The organization logo or brand assets must not be used on personal accounts without Marketing approval</w:t>
      </w:r>
    </w:p>
    <w:p>
      <w:pPr>
        <w:spacing w:after="80"/>
      </w:pPr>
      <w:r>
        <w:t xml:space="preserve"/>
      </w:r>
    </w:p>
    <w:p>
      <w:pPr>
        <w:pStyle w:val="Heading1"/>
      </w:pPr>
      <w:r>
        <w:rPr>
          <w:rFonts w:ascii="Arial" w:cs="Arial" w:eastAsia="Arial" w:hAnsi="Arial"/>
        </w:rPr>
        <w:t xml:space="preserve">4. Monitoring and Privacy</w:t>
      </w:r>
    </w:p>
    <w:p>
      <w:pPr>
        <w:spacing w:after="120"/>
      </w:pPr>
      <w:r>
        <w:rPr>
          <w:rFonts w:ascii="Arial" w:cs="Arial" w:eastAsia="Arial" w:hAnsi="Arial"/>
          <w:sz w:val="22"/>
          <w:szCs w:val="22"/>
        </w:rPr>
        <w:t xml:space="preserve">Users should have no expectation of privacy when using organizational IT resources. The organization reserves the right to monitor, inspect, and audit all activity on its systems, including email and internet usage, in accordance with applicable laws. Monitoring may occur with or without prior notice.</w:t>
      </w:r>
    </w:p>
    <w:p>
      <w:pPr>
        <w:spacing w:after="80"/>
      </w:pPr>
      <w:r>
        <w:t xml:space="preserve"/>
      </w:r>
    </w:p>
    <w:p>
      <w:pPr>
        <w:pStyle w:val="Heading1"/>
      </w:pPr>
      <w:r>
        <w:rPr>
          <w:rFonts w:ascii="Arial" w:cs="Arial" w:eastAsia="Arial" w:hAnsi="Arial"/>
        </w:rPr>
        <w:t xml:space="preserve">5. Reporting Violations</w:t>
      </w:r>
    </w:p>
    <w:p>
      <w:pPr>
        <w:spacing w:after="120"/>
      </w:pPr>
      <w:r>
        <w:rPr>
          <w:rFonts w:ascii="Arial" w:cs="Arial" w:eastAsia="Arial" w:hAnsi="Arial"/>
          <w:sz w:val="22"/>
          <w:szCs w:val="22"/>
        </w:rPr>
        <w:t xml:space="preserve">Any suspected policy violations must be reported immediately to:</w:t>
      </w:r>
    </w:p>
    <w:p>
      <w:pPr>
        <w:pStyle w:val="ListParagraph"/>
        <w:numPr>
          <w:ilvl w:val="0"/>
          <w:numId w:val="2"/>
        </w:numPr>
        <w:spacing w:after="80"/>
      </w:pPr>
      <w:r>
        <w:rPr>
          <w:rFonts w:ascii="Arial" w:cs="Arial" w:eastAsia="Arial" w:hAnsi="Arial"/>
          <w:b w:val="false"/>
          <w:bCs w:val="false"/>
          <w:sz w:val="22"/>
          <w:szCs w:val="22"/>
        </w:rPr>
        <w:t xml:space="preserve">Direct manager or department head</w:t>
      </w:r>
    </w:p>
    <w:p>
      <w:pPr>
        <w:pStyle w:val="ListParagraph"/>
        <w:numPr>
          <w:ilvl w:val="0"/>
          <w:numId w:val="2"/>
        </w:numPr>
        <w:spacing w:after="80"/>
      </w:pPr>
      <w:r>
        <w:rPr>
          <w:rFonts w:ascii="Arial" w:cs="Arial" w:eastAsia="Arial" w:hAnsi="Arial"/>
          <w:b w:val="false"/>
          <w:bCs w:val="false"/>
          <w:sz w:val="22"/>
          <w:szCs w:val="22"/>
        </w:rPr>
        <w:t xml:space="preserve">Information Security Team: security@organization.com</w:t>
      </w:r>
    </w:p>
    <w:p>
      <w:pPr>
        <w:pStyle w:val="ListParagraph"/>
        <w:numPr>
          <w:ilvl w:val="0"/>
          <w:numId w:val="2"/>
        </w:numPr>
        <w:spacing w:after="80"/>
      </w:pPr>
      <w:r>
        <w:rPr>
          <w:rFonts w:ascii="Arial" w:cs="Arial" w:eastAsia="Arial" w:hAnsi="Arial"/>
          <w:b w:val="false"/>
          <w:bCs w:val="false"/>
          <w:sz w:val="22"/>
          <w:szCs w:val="22"/>
        </w:rPr>
        <w:t xml:space="preserve">Anonymous ethics hotline (if available)</w:t>
      </w:r>
    </w:p>
    <w:p>
      <w:pPr>
        <w:spacing w:after="80"/>
      </w:pPr>
      <w:r>
        <w:t xml:space="preserve"/>
      </w:r>
    </w:p>
    <w:p>
      <w:pPr>
        <w:spacing w:after="120"/>
      </w:pPr>
      <w:r>
        <w:rPr>
          <w:rFonts w:ascii="Arial" w:cs="Arial" w:eastAsia="Arial" w:hAnsi="Arial"/>
          <w:sz w:val="22"/>
          <w:szCs w:val="22"/>
        </w:rPr>
        <w:t xml:space="preserve">Employees who report violations in good faith will be protected from retaliation.</w:t>
      </w:r>
    </w:p>
    <w:p>
      <w:pPr>
        <w:spacing w:after="80"/>
      </w:pPr>
      <w:r>
        <w:t xml:space="preserve"/>
      </w:r>
    </w:p>
    <w:p>
      <w:pPr>
        <w:pStyle w:val="Heading1"/>
      </w:pPr>
      <w:r>
        <w:rPr>
          <w:rFonts w:ascii="Arial" w:cs="Arial" w:eastAsia="Arial" w:hAnsi="Arial"/>
        </w:rPr>
        <w:t xml:space="preserve">6. Consequences of Violation</w:t>
      </w:r>
    </w:p>
    <w:p>
      <w:pPr>
        <w:spacing w:after="120"/>
      </w:pPr>
      <w:r>
        <w:rPr>
          <w:rFonts w:ascii="Arial" w:cs="Arial" w:eastAsia="Arial" w:hAnsi="Arial"/>
          <w:sz w:val="22"/>
          <w:szCs w:val="22"/>
        </w:rPr>
        <w:t xml:space="preserve">Violations of this policy may result in:</w:t>
      </w:r>
    </w:p>
    <w:p>
      <w:pPr>
        <w:pStyle w:val="ListParagraph"/>
        <w:numPr>
          <w:ilvl w:val="0"/>
          <w:numId w:val="2"/>
        </w:numPr>
        <w:spacing w:after="80"/>
      </w:pPr>
      <w:r>
        <w:rPr>
          <w:rFonts w:ascii="Arial" w:cs="Arial" w:eastAsia="Arial" w:hAnsi="Arial"/>
          <w:b w:val="false"/>
          <w:bCs w:val="false"/>
          <w:sz w:val="22"/>
          <w:szCs w:val="22"/>
        </w:rPr>
        <w:t xml:space="preserve">Verbal or written warning</w:t>
      </w:r>
    </w:p>
    <w:p>
      <w:pPr>
        <w:pStyle w:val="ListParagraph"/>
        <w:numPr>
          <w:ilvl w:val="0"/>
          <w:numId w:val="2"/>
        </w:numPr>
        <w:spacing w:after="80"/>
      </w:pPr>
      <w:r>
        <w:rPr>
          <w:rFonts w:ascii="Arial" w:cs="Arial" w:eastAsia="Arial" w:hAnsi="Arial"/>
          <w:b w:val="false"/>
          <w:bCs w:val="false"/>
          <w:sz w:val="22"/>
          <w:szCs w:val="22"/>
        </w:rPr>
        <w:t xml:space="preserve">Suspension of IT access privileges</w:t>
      </w:r>
    </w:p>
    <w:p>
      <w:pPr>
        <w:pStyle w:val="ListParagraph"/>
        <w:numPr>
          <w:ilvl w:val="0"/>
          <w:numId w:val="2"/>
        </w:numPr>
        <w:spacing w:after="80"/>
      </w:pPr>
      <w:r>
        <w:rPr>
          <w:rFonts w:ascii="Arial" w:cs="Arial" w:eastAsia="Arial" w:hAnsi="Arial"/>
          <w:b w:val="false"/>
          <w:bCs w:val="false"/>
          <w:sz w:val="22"/>
          <w:szCs w:val="22"/>
        </w:rPr>
        <w:t xml:space="preserve">Disciplinary action up to and including termination of employment</w:t>
      </w:r>
    </w:p>
    <w:p>
      <w:pPr>
        <w:pStyle w:val="ListParagraph"/>
        <w:numPr>
          <w:ilvl w:val="0"/>
          <w:numId w:val="2"/>
        </w:numPr>
        <w:spacing w:after="80"/>
      </w:pPr>
      <w:r>
        <w:rPr>
          <w:rFonts w:ascii="Arial" w:cs="Arial" w:eastAsia="Arial" w:hAnsi="Arial"/>
          <w:b w:val="false"/>
          <w:bCs w:val="false"/>
          <w:sz w:val="22"/>
          <w:szCs w:val="22"/>
        </w:rPr>
        <w:t xml:space="preserve">Civil or criminal legal proceedings where warranted</w:t>
      </w:r>
    </w:p>
    <w:p>
      <w:pPr>
        <w:spacing w:after="80"/>
      </w:pPr>
      <w:r>
        <w:t xml:space="preserve"/>
      </w:r>
    </w:p>
    <w:p>
      <w:pPr>
        <w:pStyle w:val="Heading1"/>
      </w:pPr>
      <w:r>
        <w:rPr>
          <w:rFonts w:ascii="Arial" w:cs="Arial" w:eastAsia="Arial" w:hAnsi="Arial"/>
        </w:rPr>
        <w:t xml:space="preserve">7. Policy Review</w:t>
      </w:r>
    </w:p>
    <w:p>
      <w:pPr>
        <w:spacing w:after="120"/>
      </w:pPr>
      <w:r>
        <w:rPr>
          <w:rFonts w:ascii="Arial" w:cs="Arial" w:eastAsia="Arial" w:hAnsi="Arial"/>
          <w:sz w:val="22"/>
          <w:szCs w:val="22"/>
        </w:rPr>
        <w:t xml:space="preserve">This policy will be reviewed annually by the Information Security Team or following any significant change in technology, regulation, or business operations. All revisions will be communicated to affected parties.</w:t>
      </w:r>
    </w:p>
    <w:p>
      <w:pPr>
        <w:spacing w:after="80"/>
      </w:pPr>
      <w:r>
        <w:t xml:space="preserve"/>
      </w:r>
    </w:p>
    <w:p>
      <w:pPr>
        <w:pStyle w:val="Heading1"/>
      </w:pPr>
      <w:r>
        <w:rPr>
          <w:rFonts w:ascii="Arial" w:cs="Arial" w:eastAsia="Arial" w:hAnsi="Arial"/>
        </w:rPr>
        <w:t xml:space="preserve">8. Acknowledgement</w:t>
      </w:r>
    </w:p>
    <w:p>
      <w:pPr>
        <w:spacing w:after="120"/>
      </w:pPr>
      <w:r>
        <w:rPr>
          <w:rFonts w:ascii="Arial" w:cs="Arial" w:eastAsia="Arial" w:hAnsi="Arial"/>
          <w:sz w:val="22"/>
          <w:szCs w:val="22"/>
        </w:rPr>
        <w:t xml:space="preserve">By using organizational IT resources, all users acknowledge that they have read, understood, and agree to comply with this Acceptable Use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Employee Signature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Date</w:t>
            </w:r>
          </w:p>
        </w:tc>
      </w:tr>
      <w:tr>
        <w:tc>
          <w:tcPr>
            <w:tcW w:type="dxa" w:w="4680"/>
            <w:tcBorders>
              <w:top w:val="single" w:color="CCCCCC" w:sz="1"/>
              <w:left w:val="single" w:color="CCCCCC" w:sz="1"/>
              <w:bottom w:val="single" w:color="CCCCCC" w:sz="1"/>
              <w:right w:val="single" w:color="CCCCCC" w:sz="1"/>
            </w:tcBorders>
            <w:tcMar>
              <w:top w:type="dxa" w:w="200"/>
              <w:left w:type="dxa" w:w="160"/>
              <w:bottom w:type="dxa" w:w="200"/>
              <w:right w:type="dxa" w:w="160"/>
            </w:tcMar>
          </w:tcPr>
          <w:p>
            <w:r>
              <w:rPr>
                <w:rFonts w:ascii="Arial" w:cs="Arial" w:eastAsia="Arial" w:hAnsi="Arial"/>
                <w:sz w:val="20"/>
                <w:szCs w:val="20"/>
              </w:rPr>
              <w:t xml:space="preserve"> </w:t>
            </w:r>
          </w:p>
        </w:tc>
        <w:tc>
          <w:tcPr>
            <w:tcW w:type="dxa" w:w="4680"/>
            <w:tcBorders>
              <w:top w:val="single" w:color="CCCCCC" w:sz="1"/>
              <w:left w:val="single" w:color="CCCCCC" w:sz="1"/>
              <w:bottom w:val="single" w:color="CCCCCC" w:sz="1"/>
              <w:right w:val="single" w:color="CCCCCC" w:sz="1"/>
            </w:tcBorders>
            <w:tcMar>
              <w:top w:type="dxa" w:w="200"/>
              <w:left w:type="dxa" w:w="160"/>
              <w:bottom w:type="dxa" w:w="200"/>
              <w:right w:type="dxa" w:w="160"/>
            </w:tcMar>
          </w:tcPr>
          <w:p>
            <w:r>
              <w:rPr>
                <w:rFonts w:ascii="Arial" w:cs="Arial" w:eastAsia="Arial" w:hAnsi="Arial"/>
                <w:sz w:val="20"/>
                <w:szCs w:val="20"/>
              </w:rPr>
              <w:t xml:space="preserve"> </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Acceptable Use Policy</w:t>
    </w:r>
    <w:r>
      <w:rPr>
        <w:rFonts w:ascii="Arial" w:cs="Arial" w:eastAsia="Arial" w:hAnsi="Arial"/>
        <w:color w:val="888888"/>
        <w:sz w:val="18"/>
        <w:szCs w:val="18"/>
      </w:rPr>
      <w:t xml:space="preserve">	POL-001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2026-04-19T09:29:31.426Z</dcterms:created>
  <dcterms:modified xsi:type="dcterms:W3CDTF">2026-04-19T09:29:31.426Z</dcterms:modified>
</cp:coreProperties>
</file>

<file path=docProps/custom.xml><?xml version="1.0" encoding="utf-8"?>
<Properties xmlns="http://schemas.openxmlformats.org/officeDocument/2006/custom-properties" xmlns:vt="http://schemas.openxmlformats.org/officeDocument/2006/docPropsVTypes"/>
</file>