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480"/>
        <w:jc w:val="center"/>
      </w:pPr>
      <w:r>
        <w:rPr>
          <w:rFonts w:ascii="Arial" w:cs="Arial" w:eastAsia="Arial" w:hAnsi="Arial"/>
          <w:b/>
          <w:bCs/>
          <w:color w:val="1F4E79"/>
          <w:sz w:val="48"/>
          <w:szCs w:val="48"/>
        </w:rPr>
        <w:t xml:space="preserve">Incident Response Policy</w:t>
      </w:r>
    </w:p>
    <w:p>
      <w:pPr>
        <w:spacing w:after="400"/>
        <w:jc w:val="center"/>
      </w:pPr>
      <w:r>
        <w:rPr>
          <w:rFonts w:ascii="Arial" w:cs="Arial" w:eastAsia="Arial" w:hAnsi="Arial"/>
          <w:i/>
          <w:iCs/>
          <w:color w:val="2E75B6"/>
          <w:sz w:val="26"/>
          <w:szCs w:val="26"/>
        </w:rPr>
        <w:t xml:space="preserve">Framework for Detecting, Responding to, and Recovering from Security Incidents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color w:val="1F4E79"/>
                <w:sz w:val="20"/>
                <w:szCs w:val="20"/>
              </w:rPr>
              <w:t xml:space="preserve">Policy Number</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POL-002</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color w:val="1F4E79"/>
                <w:sz w:val="20"/>
                <w:szCs w:val="20"/>
              </w:rPr>
              <w:t xml:space="preserve">Version</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1.0</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color w:val="1F4E79"/>
                <w:sz w:val="20"/>
                <w:szCs w:val="20"/>
              </w:rPr>
              <w:t xml:space="preserve">Effective Date</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April 19, 2025</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color w:val="1F4E79"/>
                <w:sz w:val="20"/>
                <w:szCs w:val="20"/>
              </w:rPr>
              <w:t xml:space="preserve">Review Date</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April 19, 2026</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color w:val="1F4E79"/>
                <w:sz w:val="20"/>
                <w:szCs w:val="20"/>
              </w:rPr>
              <w:t xml:space="preserve">Policy Owner</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Information Security Team</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color w:val="1F4E79"/>
                <w:sz w:val="20"/>
                <w:szCs w:val="20"/>
              </w:rPr>
              <w:t xml:space="preserve">Classification</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Internal Use Only</w:t>
            </w:r>
          </w:p>
        </w:tc>
      </w:tr>
    </w:tbl>
    <w:p>
      <w:pPr>
        <w:spacing w:after="80"/>
      </w:pPr>
      <w:r>
        <w:t xml:space="preserve"/>
      </w:r>
    </w:p>
    <w:p>
      <w:pPr>
        <w:spacing w:after="80"/>
      </w:pPr>
      <w:r>
        <w:t xml:space="preserve"/>
      </w:r>
    </w:p>
    <w:p>
      <w:pPr>
        <w:pStyle w:val="Heading1"/>
      </w:pPr>
      <w:r>
        <w:rPr>
          <w:rFonts w:ascii="Arial" w:cs="Arial" w:eastAsia="Arial" w:hAnsi="Arial"/>
        </w:rPr>
        <w:t xml:space="preserve">1. Purpose</w:t>
      </w:r>
    </w:p>
    <w:p>
      <w:pPr>
        <w:spacing w:after="120"/>
      </w:pPr>
      <w:r>
        <w:rPr>
          <w:rFonts w:ascii="Arial" w:cs="Arial" w:eastAsia="Arial" w:hAnsi="Arial"/>
          <w:sz w:val="22"/>
          <w:szCs w:val="22"/>
        </w:rPr>
        <w:t xml:space="preserve">This Incident Response Policy establishes a structured approach for identifying, containing, eradicating, and recovering from information security incidents. The goal is to minimize business impact, protect sensitive data, preserve evidence, and restore normal operations as quickly as possible.</w:t>
      </w:r>
    </w:p>
    <w:p>
      <w:pPr>
        <w:spacing w:after="80"/>
      </w:pPr>
      <w:r>
        <w:t xml:space="preserve"/>
      </w:r>
    </w:p>
    <w:p>
      <w:pPr>
        <w:pStyle w:val="Heading1"/>
      </w:pPr>
      <w:r>
        <w:rPr>
          <w:rFonts w:ascii="Arial" w:cs="Arial" w:eastAsia="Arial" w:hAnsi="Arial"/>
        </w:rPr>
        <w:t xml:space="preserve">2. Scope</w:t>
      </w:r>
    </w:p>
    <w:p>
      <w:pPr>
        <w:spacing w:after="120"/>
      </w:pPr>
      <w:r>
        <w:rPr>
          <w:rFonts w:ascii="Arial" w:cs="Arial" w:eastAsia="Arial" w:hAnsi="Arial"/>
          <w:sz w:val="22"/>
          <w:szCs w:val="22"/>
        </w:rPr>
        <w:t xml:space="preserve">This policy applies to all information systems, networks, and data owned or operated by the organization. It covers all employees, contractors, and third parties who have access to organizational systems.</w:t>
      </w:r>
    </w:p>
    <w:p>
      <w:pPr>
        <w:spacing w:after="80"/>
      </w:pPr>
      <w:r>
        <w:t xml:space="preserve"/>
      </w:r>
    </w:p>
    <w:p>
      <w:pPr>
        <w:pStyle w:val="Heading1"/>
      </w:pPr>
      <w:r>
        <w:rPr>
          <w:rFonts w:ascii="Arial" w:cs="Arial" w:eastAsia="Arial" w:hAnsi="Arial"/>
        </w:rPr>
        <w:t xml:space="preserve">3.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60"/>
              <w:bottom w:type="dxa" w:w="80"/>
              <w:right w:type="dxa" w:w="160"/>
            </w:tcMar>
          </w:tcPr>
          <w:p>
            <w:r>
              <w:rPr>
                <w:rFonts w:ascii="Arial" w:cs="Arial" w:eastAsia="Arial" w:hAnsi="Arial"/>
                <w:b/>
                <w:bCs/>
                <w:color w:val="FFFFFF"/>
                <w:sz w:val="20"/>
                <w:szCs w:val="20"/>
              </w:rPr>
              <w:t xml:space="preserve">Term</w:t>
            </w:r>
          </w:p>
        </w:tc>
        <w:tc>
          <w:tcPr>
            <w:tcW w:type="dxa" w:w="6560"/>
            <w:tcBorders>
              <w:top w:val="single" w:color="CCCCCC" w:sz="1"/>
              <w:left w:val="single" w:color="CCCCCC" w:sz="1"/>
              <w:bottom w:val="single" w:color="CCCCCC" w:sz="1"/>
              <w:right w:val="single" w:color="CCCCCC" w:sz="1"/>
            </w:tcBorders>
            <w:shd w:fill="1F4E79" w:val="clear"/>
            <w:tcMar>
              <w:top w:type="dxa" w:w="80"/>
              <w:left w:type="dxa" w:w="160"/>
              <w:bottom w:type="dxa" w:w="80"/>
              <w:right w:type="dxa" w:w="160"/>
            </w:tcMar>
          </w:tcPr>
          <w:p>
            <w:r>
              <w:rPr>
                <w:rFonts w:ascii="Arial" w:cs="Arial" w:eastAsia="Arial" w:hAnsi="Arial"/>
                <w:b/>
                <w:bCs/>
                <w:color w:val="FFFFFF"/>
                <w:sz w:val="20"/>
                <w:szCs w:val="20"/>
              </w:rPr>
              <w:t xml:space="preserve">Definition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sz w:val="20"/>
                <w:szCs w:val="20"/>
              </w:rPr>
              <w:t xml:space="preserve">Security Event</w:t>
            </w:r>
          </w:p>
        </w:tc>
        <w:tc>
          <w:tcPr>
            <w:tcW w:type="dxa" w:w="65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sz w:val="20"/>
                <w:szCs w:val="20"/>
              </w:rPr>
              <w:t xml:space="preserve">Any observable occurrence in a system or network that may have security implications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sz w:val="20"/>
                <w:szCs w:val="20"/>
              </w:rPr>
              <w:t xml:space="preserve">Security Incident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A confirmed or suspected violation of security policies, acceptable use policies, or standard security practices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sz w:val="20"/>
                <w:szCs w:val="20"/>
              </w:rPr>
              <w:t xml:space="preserve">Incident Response Team (IRT)</w:t>
            </w:r>
          </w:p>
        </w:tc>
        <w:tc>
          <w:tcPr>
            <w:tcW w:type="dxa" w:w="65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sz w:val="20"/>
                <w:szCs w:val="20"/>
              </w:rPr>
              <w:t xml:space="preserve">Designated personnel responsible for managing security incidents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sz w:val="20"/>
                <w:szCs w:val="20"/>
              </w:rPr>
              <w:t xml:space="preserve">Root Cause Analysis (RCA)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Investigation to identify the underlying cause of an incident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sz w:val="20"/>
                <w:szCs w:val="20"/>
              </w:rPr>
              <w:t xml:space="preserve">Chain of Custody</w:t>
            </w:r>
          </w:p>
        </w:tc>
        <w:tc>
          <w:tcPr>
            <w:tcW w:type="dxa" w:w="65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sz w:val="20"/>
                <w:szCs w:val="20"/>
              </w:rPr>
              <w:t xml:space="preserve">Documentation tracking who has handled evidence and when</w:t>
            </w:r>
          </w:p>
        </w:tc>
      </w:tr>
    </w:tbl>
    <w:p>
      <w:pPr>
        <w:spacing w:after="80"/>
      </w:pPr>
      <w:r>
        <w:t xml:space="preserve"/>
      </w:r>
    </w:p>
    <w:p>
      <w:pPr>
        <w:pStyle w:val="Heading1"/>
      </w:pPr>
      <w:r>
        <w:rPr>
          <w:rFonts w:ascii="Arial" w:cs="Arial" w:eastAsia="Arial" w:hAnsi="Arial"/>
        </w:rPr>
        <w:t xml:space="preserve">4. Incident Classification</w:t>
      </w:r>
    </w:p>
    <w:p>
      <w:pPr>
        <w:spacing w:after="120"/>
      </w:pPr>
      <w:r>
        <w:rPr>
          <w:rFonts w:ascii="Arial" w:cs="Arial" w:eastAsia="Arial" w:hAnsi="Arial"/>
          <w:sz w:val="22"/>
          <w:szCs w:val="22"/>
        </w:rPr>
        <w:t xml:space="preserve">Incidents are classified by severity to prioritize response: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60"/>
              <w:bottom w:type="dxa" w:w="80"/>
              <w:right w:type="dxa" w:w="160"/>
            </w:tcMar>
          </w:tcPr>
          <w:p>
            <w:r>
              <w:rPr>
                <w:rFonts w:ascii="Arial" w:cs="Arial" w:eastAsia="Arial" w:hAnsi="Arial"/>
                <w:b/>
                <w:bCs/>
                <w:color w:val="FFFFFF"/>
                <w:sz w:val="20"/>
                <w:szCs w:val="20"/>
              </w:rPr>
              <w:t xml:space="preserve">Severity</w:t>
            </w:r>
          </w:p>
        </w:tc>
        <w:tc>
          <w:tcPr>
            <w:tcW w:type="dxa" w:w="3000"/>
            <w:tcBorders>
              <w:top w:val="single" w:color="CCCCCC" w:sz="1"/>
              <w:left w:val="single" w:color="CCCCCC" w:sz="1"/>
              <w:bottom w:val="single" w:color="CCCCCC" w:sz="1"/>
              <w:right w:val="single" w:color="CCCCCC" w:sz="1"/>
            </w:tcBorders>
            <w:shd w:fill="1F4E79" w:val="clear"/>
            <w:tcMar>
              <w:top w:type="dxa" w:w="80"/>
              <w:left w:type="dxa" w:w="160"/>
              <w:bottom w:type="dxa" w:w="80"/>
              <w:right w:type="dxa" w:w="160"/>
            </w:tcMar>
          </w:tcPr>
          <w:p>
            <w:r>
              <w:rPr>
                <w:rFonts w:ascii="Arial" w:cs="Arial" w:eastAsia="Arial" w:hAnsi="Arial"/>
                <w:b/>
                <w:bCs/>
                <w:color w:val="FFFFFF"/>
                <w:sz w:val="20"/>
                <w:szCs w:val="20"/>
              </w:rPr>
              <w:t xml:space="preserve">Examples</w:t>
            </w:r>
          </w:p>
        </w:tc>
        <w:tc>
          <w:tcPr>
            <w:tcW w:type="dxa" w:w="4560"/>
            <w:tcBorders>
              <w:top w:val="single" w:color="CCCCCC" w:sz="1"/>
              <w:left w:val="single" w:color="CCCCCC" w:sz="1"/>
              <w:bottom w:val="single" w:color="CCCCCC" w:sz="1"/>
              <w:right w:val="single" w:color="CCCCCC" w:sz="1"/>
            </w:tcBorders>
            <w:shd w:fill="1F4E79" w:val="clear"/>
            <w:tcMar>
              <w:top w:type="dxa" w:w="80"/>
              <w:left w:type="dxa" w:w="160"/>
              <w:bottom w:type="dxa" w:w="80"/>
              <w:right w:type="dxa" w:w="160"/>
            </w:tcMar>
          </w:tcPr>
          <w:p>
            <w:r>
              <w:rPr>
                <w:rFonts w:ascii="Arial" w:cs="Arial" w:eastAsia="Arial" w:hAnsi="Arial"/>
                <w:b/>
                <w:bCs/>
                <w:color w:val="FFFFFF"/>
                <w:sz w:val="20"/>
                <w:szCs w:val="20"/>
              </w:rPr>
              <w:t xml:space="preserve">Response Time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sz w:val="20"/>
                <w:szCs w:val="20"/>
              </w:rPr>
              <w:t xml:space="preserve">Critical (P1)</w:t>
            </w:r>
          </w:p>
        </w:tc>
        <w:tc>
          <w:tcPr>
            <w:tcW w:type="dxa" w:w="30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val="false"/>
                <w:bCs w:val="false"/>
                <w:sz w:val="20"/>
                <w:szCs w:val="20"/>
              </w:rPr>
              <w:t xml:space="preserve">Ransomware, data breach, system compromise</w:t>
            </w:r>
          </w:p>
        </w:tc>
        <w:tc>
          <w:tcPr>
            <w:tcW w:type="dxa" w:w="45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val="false"/>
                <w:bCs w:val="false"/>
                <w:sz w:val="20"/>
                <w:szCs w:val="20"/>
              </w:rPr>
              <w:t xml:space="preserve">Immediate — within 1 hour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sz w:val="20"/>
                <w:szCs w:val="20"/>
              </w:rPr>
              <w:t xml:space="preserve">High (P2)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sz w:val="20"/>
                <w:szCs w:val="20"/>
              </w:rPr>
              <w:t xml:space="preserve">Unauthorized access, malware infection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sz w:val="20"/>
                <w:szCs w:val="20"/>
              </w:rPr>
              <w:t xml:space="preserve">Within 4 hours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sz w:val="20"/>
                <w:szCs w:val="20"/>
              </w:rPr>
              <w:t xml:space="preserve">Medium (P3)</w:t>
            </w:r>
          </w:p>
        </w:tc>
        <w:tc>
          <w:tcPr>
            <w:tcW w:type="dxa" w:w="30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val="false"/>
                <w:bCs w:val="false"/>
                <w:sz w:val="20"/>
                <w:szCs w:val="20"/>
              </w:rPr>
              <w:t xml:space="preserve">Phishing attempt, policy violation</w:t>
            </w:r>
          </w:p>
        </w:tc>
        <w:tc>
          <w:tcPr>
            <w:tcW w:type="dxa" w:w="45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val="false"/>
                <w:bCs w:val="false"/>
                <w:sz w:val="20"/>
                <w:szCs w:val="20"/>
              </w:rPr>
              <w:t xml:space="preserve">Within 24 hours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sz w:val="20"/>
                <w:szCs w:val="20"/>
              </w:rPr>
              <w:t xml:space="preserve">Low (P4)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sz w:val="20"/>
                <w:szCs w:val="20"/>
              </w:rPr>
              <w:t xml:space="preserve">Suspicious email, minor AUP violation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sz w:val="20"/>
                <w:szCs w:val="20"/>
              </w:rPr>
              <w:t xml:space="preserve">Within 72 hours</w:t>
            </w:r>
          </w:p>
        </w:tc>
      </w:tr>
    </w:tbl>
    <w:p>
      <w:pPr>
        <w:spacing w:after="80"/>
      </w:pPr>
      <w:r>
        <w:t xml:space="preserve"/>
      </w:r>
    </w:p>
    <w:p>
      <w:pPr>
        <w:pStyle w:val="Heading1"/>
      </w:pPr>
      <w:r>
        <w:rPr>
          <w:rFonts w:ascii="Arial" w:cs="Arial" w:eastAsia="Arial" w:hAnsi="Arial"/>
        </w:rPr>
        <w:t xml:space="preserve">5. Incident Response Lifecycle</w:t>
      </w:r>
    </w:p>
    <w:p>
      <w:pPr>
        <w:pStyle w:val="Heading2"/>
      </w:pPr>
      <w:r>
        <w:rPr>
          <w:rFonts w:ascii="Arial" w:cs="Arial" w:eastAsia="Arial" w:hAnsi="Arial"/>
        </w:rPr>
        <w:t xml:space="preserve">Phase 1 — Preparation</w:t>
      </w:r>
    </w:p>
    <w:p>
      <w:pPr>
        <w:pStyle w:val="ListParagraph"/>
        <w:numPr>
          <w:ilvl w:val="0"/>
          <w:numId w:val="2"/>
        </w:numPr>
        <w:spacing w:after="80"/>
      </w:pPr>
      <w:r>
        <w:rPr>
          <w:rFonts w:ascii="Arial" w:cs="Arial" w:eastAsia="Arial" w:hAnsi="Arial"/>
          <w:b w:val="false"/>
          <w:bCs w:val="false"/>
          <w:sz w:val="22"/>
          <w:szCs w:val="22"/>
        </w:rPr>
        <w:t xml:space="preserve">Maintain an up-to-date asset inventory and contact list</w:t>
      </w:r>
    </w:p>
    <w:p>
      <w:pPr>
        <w:pStyle w:val="ListParagraph"/>
        <w:numPr>
          <w:ilvl w:val="0"/>
          <w:numId w:val="2"/>
        </w:numPr>
        <w:spacing w:after="80"/>
      </w:pPr>
      <w:r>
        <w:rPr>
          <w:rFonts w:ascii="Arial" w:cs="Arial" w:eastAsia="Arial" w:hAnsi="Arial"/>
          <w:b w:val="false"/>
          <w:bCs w:val="false"/>
          <w:sz w:val="22"/>
          <w:szCs w:val="22"/>
        </w:rPr>
        <w:t xml:space="preserve">Ensure incident response tools are available (forensic software, log analyzers)</w:t>
      </w:r>
    </w:p>
    <w:p>
      <w:pPr>
        <w:pStyle w:val="ListParagraph"/>
        <w:numPr>
          <w:ilvl w:val="0"/>
          <w:numId w:val="2"/>
        </w:numPr>
        <w:spacing w:after="80"/>
      </w:pPr>
      <w:r>
        <w:rPr>
          <w:rFonts w:ascii="Arial" w:cs="Arial" w:eastAsia="Arial" w:hAnsi="Arial"/>
          <w:b w:val="false"/>
          <w:bCs w:val="false"/>
          <w:sz w:val="22"/>
          <w:szCs w:val="22"/>
        </w:rPr>
        <w:t xml:space="preserve">Conduct regular incident response training and tabletop exercises</w:t>
      </w:r>
    </w:p>
    <w:p>
      <w:pPr>
        <w:pStyle w:val="ListParagraph"/>
        <w:numPr>
          <w:ilvl w:val="0"/>
          <w:numId w:val="2"/>
        </w:numPr>
        <w:spacing w:after="80"/>
      </w:pPr>
      <w:r>
        <w:rPr>
          <w:rFonts w:ascii="Arial" w:cs="Arial" w:eastAsia="Arial" w:hAnsi="Arial"/>
          <w:b w:val="false"/>
          <w:bCs w:val="false"/>
          <w:sz w:val="22"/>
          <w:szCs w:val="22"/>
        </w:rPr>
        <w:t xml:space="preserve">Establish relationships with external stakeholders (legal, law enforcement, PR)</w:t>
      </w:r>
    </w:p>
    <w:p>
      <w:pPr>
        <w:spacing w:after="80"/>
      </w:pPr>
      <w:r>
        <w:t xml:space="preserve"/>
      </w:r>
    </w:p>
    <w:p>
      <w:pPr>
        <w:pStyle w:val="Heading2"/>
      </w:pPr>
      <w:r>
        <w:rPr>
          <w:rFonts w:ascii="Arial" w:cs="Arial" w:eastAsia="Arial" w:hAnsi="Arial"/>
        </w:rPr>
        <w:t xml:space="preserve">Phase 2 — Detection and Identification</w:t>
      </w:r>
    </w:p>
    <w:p>
      <w:pPr>
        <w:pStyle w:val="ListParagraph"/>
        <w:numPr>
          <w:ilvl w:val="0"/>
          <w:numId w:val="2"/>
        </w:numPr>
        <w:spacing w:after="80"/>
      </w:pPr>
      <w:r>
        <w:rPr>
          <w:rFonts w:ascii="Arial" w:cs="Arial" w:eastAsia="Arial" w:hAnsi="Arial"/>
          <w:b w:val="false"/>
          <w:bCs w:val="false"/>
          <w:sz w:val="22"/>
          <w:szCs w:val="22"/>
        </w:rPr>
        <w:t xml:space="preserve">Monitor security alerts from SIEM, IDS/IPS, and endpoint protection tools</w:t>
      </w:r>
    </w:p>
    <w:p>
      <w:pPr>
        <w:pStyle w:val="ListParagraph"/>
        <w:numPr>
          <w:ilvl w:val="0"/>
          <w:numId w:val="2"/>
        </w:numPr>
        <w:spacing w:after="80"/>
      </w:pPr>
      <w:r>
        <w:rPr>
          <w:rFonts w:ascii="Arial" w:cs="Arial" w:eastAsia="Arial" w:hAnsi="Arial"/>
          <w:b w:val="false"/>
          <w:bCs w:val="false"/>
          <w:sz w:val="22"/>
          <w:szCs w:val="22"/>
        </w:rPr>
        <w:t xml:space="preserve">Collect and analyze logs to confirm whether an event is a true incident</w:t>
      </w:r>
    </w:p>
    <w:p>
      <w:pPr>
        <w:pStyle w:val="ListParagraph"/>
        <w:numPr>
          <w:ilvl w:val="0"/>
          <w:numId w:val="2"/>
        </w:numPr>
        <w:spacing w:after="80"/>
      </w:pPr>
      <w:r>
        <w:rPr>
          <w:rFonts w:ascii="Arial" w:cs="Arial" w:eastAsia="Arial" w:hAnsi="Arial"/>
          <w:b w:val="false"/>
          <w:bCs w:val="false"/>
          <w:sz w:val="22"/>
          <w:szCs w:val="22"/>
        </w:rPr>
        <w:t xml:space="preserve">Document the date, time, and nature of the potential incident</w:t>
      </w:r>
    </w:p>
    <w:p>
      <w:pPr>
        <w:pStyle w:val="ListParagraph"/>
        <w:numPr>
          <w:ilvl w:val="0"/>
          <w:numId w:val="2"/>
        </w:numPr>
        <w:spacing w:after="80"/>
      </w:pPr>
      <w:r>
        <w:rPr>
          <w:rFonts w:ascii="Arial" w:cs="Arial" w:eastAsia="Arial" w:hAnsi="Arial"/>
          <w:b w:val="false"/>
          <w:bCs w:val="false"/>
          <w:sz w:val="22"/>
          <w:szCs w:val="22"/>
        </w:rPr>
        <w:t xml:space="preserve">Classify the incident severity using the criteria in Section 4</w:t>
      </w:r>
    </w:p>
    <w:p>
      <w:pPr>
        <w:spacing w:after="80"/>
      </w:pPr>
      <w:r>
        <w:t xml:space="preserve"/>
      </w:r>
    </w:p>
    <w:p>
      <w:pPr>
        <w:pStyle w:val="Heading2"/>
      </w:pPr>
      <w:r>
        <w:rPr>
          <w:rFonts w:ascii="Arial" w:cs="Arial" w:eastAsia="Arial" w:hAnsi="Arial"/>
        </w:rPr>
        <w:t xml:space="preserve">Phase 3 — Containment</w:t>
      </w:r>
    </w:p>
    <w:p>
      <w:pPr>
        <w:pStyle w:val="ListParagraph"/>
        <w:numPr>
          <w:ilvl w:val="0"/>
          <w:numId w:val="2"/>
        </w:numPr>
        <w:spacing w:after="80"/>
      </w:pPr>
      <w:r>
        <w:rPr>
          <w:rFonts w:ascii="Arial" w:cs="Arial" w:eastAsia="Arial" w:hAnsi="Arial"/>
          <w:b w:val="false"/>
          <w:bCs w:val="false"/>
          <w:sz w:val="22"/>
          <w:szCs w:val="22"/>
        </w:rPr>
        <w:t xml:space="preserve">Short-term containment: Isolate affected systems from the network immediately</w:t>
      </w:r>
    </w:p>
    <w:p>
      <w:pPr>
        <w:pStyle w:val="ListParagraph"/>
        <w:numPr>
          <w:ilvl w:val="0"/>
          <w:numId w:val="2"/>
        </w:numPr>
        <w:spacing w:after="80"/>
      </w:pPr>
      <w:r>
        <w:rPr>
          <w:rFonts w:ascii="Arial" w:cs="Arial" w:eastAsia="Arial" w:hAnsi="Arial"/>
          <w:b w:val="false"/>
          <w:bCs w:val="false"/>
          <w:sz w:val="22"/>
          <w:szCs w:val="22"/>
        </w:rPr>
        <w:t xml:space="preserve">Long-term containment: Apply patches, reset credentials, block malicious IPs</w:t>
      </w:r>
    </w:p>
    <w:p>
      <w:pPr>
        <w:pStyle w:val="ListParagraph"/>
        <w:numPr>
          <w:ilvl w:val="0"/>
          <w:numId w:val="2"/>
        </w:numPr>
        <w:spacing w:after="80"/>
      </w:pPr>
      <w:r>
        <w:rPr>
          <w:rFonts w:ascii="Arial" w:cs="Arial" w:eastAsia="Arial" w:hAnsi="Arial"/>
          <w:b w:val="false"/>
          <w:bCs w:val="false"/>
          <w:sz w:val="22"/>
          <w:szCs w:val="22"/>
        </w:rPr>
        <w:t xml:space="preserve">Preserve forensic evidence before making changes to affected systems</w:t>
      </w:r>
    </w:p>
    <w:p>
      <w:pPr>
        <w:pStyle w:val="ListParagraph"/>
        <w:numPr>
          <w:ilvl w:val="0"/>
          <w:numId w:val="2"/>
        </w:numPr>
        <w:spacing w:after="80"/>
      </w:pPr>
      <w:r>
        <w:rPr>
          <w:rFonts w:ascii="Arial" w:cs="Arial" w:eastAsia="Arial" w:hAnsi="Arial"/>
          <w:b w:val="false"/>
          <w:bCs w:val="false"/>
          <w:sz w:val="22"/>
          <w:szCs w:val="22"/>
        </w:rPr>
        <w:t xml:space="preserve">Notify the Incident Response Team and relevant management</w:t>
      </w:r>
    </w:p>
    <w:p>
      <w:pPr>
        <w:spacing w:after="80"/>
      </w:pPr>
      <w:r>
        <w:t xml:space="preserve"/>
      </w:r>
    </w:p>
    <w:p>
      <w:pPr>
        <w:pStyle w:val="Heading2"/>
      </w:pPr>
      <w:r>
        <w:rPr>
          <w:rFonts w:ascii="Arial" w:cs="Arial" w:eastAsia="Arial" w:hAnsi="Arial"/>
        </w:rPr>
        <w:t xml:space="preserve">Phase 4 — Eradication</w:t>
      </w:r>
    </w:p>
    <w:p>
      <w:pPr>
        <w:pStyle w:val="ListParagraph"/>
        <w:numPr>
          <w:ilvl w:val="0"/>
          <w:numId w:val="2"/>
        </w:numPr>
        <w:spacing w:after="80"/>
      </w:pPr>
      <w:r>
        <w:rPr>
          <w:rFonts w:ascii="Arial" w:cs="Arial" w:eastAsia="Arial" w:hAnsi="Arial"/>
          <w:b w:val="false"/>
          <w:bCs w:val="false"/>
          <w:sz w:val="22"/>
          <w:szCs w:val="22"/>
        </w:rPr>
        <w:t xml:space="preserve">Identify and remove the root cause (malware, vulnerability, misconfiguration)</w:t>
      </w:r>
    </w:p>
    <w:p>
      <w:pPr>
        <w:pStyle w:val="ListParagraph"/>
        <w:numPr>
          <w:ilvl w:val="0"/>
          <w:numId w:val="2"/>
        </w:numPr>
        <w:spacing w:after="80"/>
      </w:pPr>
      <w:r>
        <w:rPr>
          <w:rFonts w:ascii="Arial" w:cs="Arial" w:eastAsia="Arial" w:hAnsi="Arial"/>
          <w:b w:val="false"/>
          <w:bCs w:val="false"/>
          <w:sz w:val="22"/>
          <w:szCs w:val="22"/>
        </w:rPr>
        <w:t xml:space="preserve">Scan all potentially affected systems to confirm complete removal</w:t>
      </w:r>
    </w:p>
    <w:p>
      <w:pPr>
        <w:pStyle w:val="ListParagraph"/>
        <w:numPr>
          <w:ilvl w:val="0"/>
          <w:numId w:val="2"/>
        </w:numPr>
        <w:spacing w:after="80"/>
      </w:pPr>
      <w:r>
        <w:rPr>
          <w:rFonts w:ascii="Arial" w:cs="Arial" w:eastAsia="Arial" w:hAnsi="Arial"/>
          <w:b w:val="false"/>
          <w:bCs w:val="false"/>
          <w:sz w:val="22"/>
          <w:szCs w:val="22"/>
        </w:rPr>
        <w:t xml:space="preserve">Apply security patches and configuration hardening</w:t>
      </w:r>
    </w:p>
    <w:p>
      <w:pPr>
        <w:spacing w:after="80"/>
      </w:pPr>
      <w:r>
        <w:t xml:space="preserve"/>
      </w:r>
    </w:p>
    <w:p>
      <w:pPr>
        <w:pStyle w:val="Heading2"/>
      </w:pPr>
      <w:r>
        <w:rPr>
          <w:rFonts w:ascii="Arial" w:cs="Arial" w:eastAsia="Arial" w:hAnsi="Arial"/>
        </w:rPr>
        <w:t xml:space="preserve">Phase 5 — Recovery</w:t>
      </w:r>
    </w:p>
    <w:p>
      <w:pPr>
        <w:pStyle w:val="ListParagraph"/>
        <w:numPr>
          <w:ilvl w:val="0"/>
          <w:numId w:val="2"/>
        </w:numPr>
        <w:spacing w:after="80"/>
      </w:pPr>
      <w:r>
        <w:rPr>
          <w:rFonts w:ascii="Arial" w:cs="Arial" w:eastAsia="Arial" w:hAnsi="Arial"/>
          <w:b w:val="false"/>
          <w:bCs w:val="false"/>
          <w:sz w:val="22"/>
          <w:szCs w:val="22"/>
        </w:rPr>
        <w:t xml:space="preserve">Restore affected systems from clean, verified backups</w:t>
      </w:r>
    </w:p>
    <w:p>
      <w:pPr>
        <w:pStyle w:val="ListParagraph"/>
        <w:numPr>
          <w:ilvl w:val="0"/>
          <w:numId w:val="2"/>
        </w:numPr>
        <w:spacing w:after="80"/>
      </w:pPr>
      <w:r>
        <w:rPr>
          <w:rFonts w:ascii="Arial" w:cs="Arial" w:eastAsia="Arial" w:hAnsi="Arial"/>
          <w:b w:val="false"/>
          <w:bCs w:val="false"/>
          <w:sz w:val="22"/>
          <w:szCs w:val="22"/>
        </w:rPr>
        <w:t xml:space="preserve">Monitor systems closely for 72 hours post-recovery for signs of reinfection</w:t>
      </w:r>
    </w:p>
    <w:p>
      <w:pPr>
        <w:pStyle w:val="ListParagraph"/>
        <w:numPr>
          <w:ilvl w:val="0"/>
          <w:numId w:val="2"/>
        </w:numPr>
        <w:spacing w:after="80"/>
      </w:pPr>
      <w:r>
        <w:rPr>
          <w:rFonts w:ascii="Arial" w:cs="Arial" w:eastAsia="Arial" w:hAnsi="Arial"/>
          <w:b w:val="false"/>
          <w:bCs w:val="false"/>
          <w:sz w:val="22"/>
          <w:szCs w:val="22"/>
        </w:rPr>
        <w:t xml:space="preserve">Confirm normal business operations have resumed</w:t>
      </w:r>
    </w:p>
    <w:p>
      <w:pPr>
        <w:pStyle w:val="ListParagraph"/>
        <w:numPr>
          <w:ilvl w:val="0"/>
          <w:numId w:val="2"/>
        </w:numPr>
        <w:spacing w:after="80"/>
      </w:pPr>
      <w:r>
        <w:rPr>
          <w:rFonts w:ascii="Arial" w:cs="Arial" w:eastAsia="Arial" w:hAnsi="Arial"/>
          <w:b w:val="false"/>
          <w:bCs w:val="false"/>
          <w:sz w:val="22"/>
          <w:szCs w:val="22"/>
        </w:rPr>
        <w:t xml:space="preserve">Communicate resolution to affected stakeholders</w:t>
      </w:r>
    </w:p>
    <w:p>
      <w:pPr>
        <w:spacing w:after="80"/>
      </w:pPr>
      <w:r>
        <w:t xml:space="preserve"/>
      </w:r>
    </w:p>
    <w:p>
      <w:pPr>
        <w:pStyle w:val="Heading2"/>
      </w:pPr>
      <w:r>
        <w:rPr>
          <w:rFonts w:ascii="Arial" w:cs="Arial" w:eastAsia="Arial" w:hAnsi="Arial"/>
        </w:rPr>
        <w:t xml:space="preserve">Phase 6 — Post-Incident Review</w:t>
      </w:r>
    </w:p>
    <w:p>
      <w:pPr>
        <w:pStyle w:val="ListParagraph"/>
        <w:numPr>
          <w:ilvl w:val="0"/>
          <w:numId w:val="2"/>
        </w:numPr>
        <w:spacing w:after="80"/>
      </w:pPr>
      <w:r>
        <w:rPr>
          <w:rFonts w:ascii="Arial" w:cs="Arial" w:eastAsia="Arial" w:hAnsi="Arial"/>
          <w:b w:val="false"/>
          <w:bCs w:val="false"/>
          <w:sz w:val="22"/>
          <w:szCs w:val="22"/>
        </w:rPr>
        <w:t xml:space="preserve">Conduct a Root Cause Analysis (RCA) within 5 business days of resolution</w:t>
      </w:r>
    </w:p>
    <w:p>
      <w:pPr>
        <w:pStyle w:val="ListParagraph"/>
        <w:numPr>
          <w:ilvl w:val="0"/>
          <w:numId w:val="2"/>
        </w:numPr>
        <w:spacing w:after="80"/>
      </w:pPr>
      <w:r>
        <w:rPr>
          <w:rFonts w:ascii="Arial" w:cs="Arial" w:eastAsia="Arial" w:hAnsi="Arial"/>
          <w:b w:val="false"/>
          <w:bCs w:val="false"/>
          <w:sz w:val="22"/>
          <w:szCs w:val="22"/>
        </w:rPr>
        <w:t xml:space="preserve">Document lessons learned and update response procedures accordingly</w:t>
      </w:r>
    </w:p>
    <w:p>
      <w:pPr>
        <w:pStyle w:val="ListParagraph"/>
        <w:numPr>
          <w:ilvl w:val="0"/>
          <w:numId w:val="2"/>
        </w:numPr>
        <w:spacing w:after="80"/>
      </w:pPr>
      <w:r>
        <w:rPr>
          <w:rFonts w:ascii="Arial" w:cs="Arial" w:eastAsia="Arial" w:hAnsi="Arial"/>
          <w:b w:val="false"/>
          <w:bCs w:val="false"/>
          <w:sz w:val="22"/>
          <w:szCs w:val="22"/>
        </w:rPr>
        <w:t xml:space="preserve">Update risk register and security controls based on findings</w:t>
      </w:r>
    </w:p>
    <w:p>
      <w:pPr>
        <w:pStyle w:val="ListParagraph"/>
        <w:numPr>
          <w:ilvl w:val="0"/>
          <w:numId w:val="2"/>
        </w:numPr>
        <w:spacing w:after="80"/>
      </w:pPr>
      <w:r>
        <w:rPr>
          <w:rFonts w:ascii="Arial" w:cs="Arial" w:eastAsia="Arial" w:hAnsi="Arial"/>
          <w:b w:val="false"/>
          <w:bCs w:val="false"/>
          <w:sz w:val="22"/>
          <w:szCs w:val="22"/>
        </w:rPr>
        <w:t xml:space="preserve">File final incident report with management</w:t>
      </w:r>
    </w:p>
    <w:p>
      <w:pPr>
        <w:spacing w:after="80"/>
      </w:pPr>
      <w:r>
        <w:t xml:space="preserve"/>
      </w:r>
    </w:p>
    <w:p>
      <w:pPr>
        <w:pStyle w:val="Heading1"/>
      </w:pPr>
      <w:r>
        <w:rPr>
          <w:rFonts w:ascii="Arial" w:cs="Arial" w:eastAsia="Arial" w:hAnsi="Arial"/>
        </w:rPr>
        <w:t xml:space="preserve">6. Roles and Responsibilities</w:t>
      </w:r>
    </w:p>
    <w:p>
      <w:pPr>
        <w:pStyle w:val="ListParagraph"/>
        <w:numPr>
          <w:ilvl w:val="0"/>
          <w:numId w:val="2"/>
        </w:numPr>
        <w:spacing w:after="80"/>
      </w:pPr>
      <w:r>
        <w:rPr>
          <w:rFonts w:ascii="Arial" w:cs="Arial" w:eastAsia="Arial" w:hAnsi="Arial"/>
          <w:b w:val="false"/>
          <w:bCs w:val="false"/>
          <w:sz w:val="22"/>
          <w:szCs w:val="22"/>
        </w:rPr>
        <w:t xml:space="preserve">Incident Response Lead — Coordinates the overall response effort</w:t>
      </w:r>
    </w:p>
    <w:p>
      <w:pPr>
        <w:pStyle w:val="ListParagraph"/>
        <w:numPr>
          <w:ilvl w:val="0"/>
          <w:numId w:val="2"/>
        </w:numPr>
        <w:spacing w:after="80"/>
      </w:pPr>
      <w:r>
        <w:rPr>
          <w:rFonts w:ascii="Arial" w:cs="Arial" w:eastAsia="Arial" w:hAnsi="Arial"/>
          <w:b w:val="false"/>
          <w:bCs w:val="false"/>
          <w:sz w:val="22"/>
          <w:szCs w:val="22"/>
        </w:rPr>
        <w:t xml:space="preserve">IT Security Analyst — Technical investigation and containment</w:t>
      </w:r>
    </w:p>
    <w:p>
      <w:pPr>
        <w:pStyle w:val="ListParagraph"/>
        <w:numPr>
          <w:ilvl w:val="0"/>
          <w:numId w:val="2"/>
        </w:numPr>
        <w:spacing w:after="80"/>
      </w:pPr>
      <w:r>
        <w:rPr>
          <w:rFonts w:ascii="Arial" w:cs="Arial" w:eastAsia="Arial" w:hAnsi="Arial"/>
          <w:b w:val="false"/>
          <w:bCs w:val="false"/>
          <w:sz w:val="22"/>
          <w:szCs w:val="22"/>
        </w:rPr>
        <w:t xml:space="preserve">System Administrator — System isolation, backup restoration</w:t>
      </w:r>
    </w:p>
    <w:p>
      <w:pPr>
        <w:pStyle w:val="ListParagraph"/>
        <w:numPr>
          <w:ilvl w:val="0"/>
          <w:numId w:val="2"/>
        </w:numPr>
        <w:spacing w:after="80"/>
      </w:pPr>
      <w:r>
        <w:rPr>
          <w:rFonts w:ascii="Arial" w:cs="Arial" w:eastAsia="Arial" w:hAnsi="Arial"/>
          <w:b w:val="false"/>
          <w:bCs w:val="false"/>
          <w:sz w:val="22"/>
          <w:szCs w:val="22"/>
        </w:rPr>
        <w:t xml:space="preserve">Legal/Compliance — Regulatory notification requirements</w:t>
      </w:r>
    </w:p>
    <w:p>
      <w:pPr>
        <w:pStyle w:val="ListParagraph"/>
        <w:numPr>
          <w:ilvl w:val="0"/>
          <w:numId w:val="2"/>
        </w:numPr>
        <w:spacing w:after="80"/>
      </w:pPr>
      <w:r>
        <w:rPr>
          <w:rFonts w:ascii="Arial" w:cs="Arial" w:eastAsia="Arial" w:hAnsi="Arial"/>
          <w:b w:val="false"/>
          <w:bCs w:val="false"/>
          <w:sz w:val="22"/>
          <w:szCs w:val="22"/>
        </w:rPr>
        <w:t xml:space="preserve">Communications — Internal and external communications</w:t>
      </w:r>
    </w:p>
    <w:p>
      <w:pPr>
        <w:pStyle w:val="ListParagraph"/>
        <w:numPr>
          <w:ilvl w:val="0"/>
          <w:numId w:val="2"/>
        </w:numPr>
        <w:spacing w:after="80"/>
      </w:pPr>
      <w:r>
        <w:rPr>
          <w:rFonts w:ascii="Arial" w:cs="Arial" w:eastAsia="Arial" w:hAnsi="Arial"/>
          <w:b w:val="false"/>
          <w:bCs w:val="false"/>
          <w:sz w:val="22"/>
          <w:szCs w:val="22"/>
        </w:rPr>
        <w:t xml:space="preserve">All Employees — Report suspected incidents promptly</w:t>
      </w:r>
    </w:p>
    <w:p>
      <w:pPr>
        <w:spacing w:after="80"/>
      </w:pPr>
      <w:r>
        <w:t xml:space="preserve"/>
      </w:r>
    </w:p>
    <w:p>
      <w:pPr>
        <w:pStyle w:val="Heading1"/>
      </w:pPr>
      <w:r>
        <w:rPr>
          <w:rFonts w:ascii="Arial" w:cs="Arial" w:eastAsia="Arial" w:hAnsi="Arial"/>
        </w:rPr>
        <w:t xml:space="preserve">7. Reporting Requirements</w:t>
      </w:r>
    </w:p>
    <w:p>
      <w:pPr>
        <w:spacing w:after="120"/>
      </w:pPr>
      <w:r>
        <w:rPr>
          <w:rFonts w:ascii="Arial" w:cs="Arial" w:eastAsia="Arial" w:hAnsi="Arial"/>
          <w:sz w:val="22"/>
          <w:szCs w:val="22"/>
        </w:rPr>
        <w:t xml:space="preserve">The following incidents must be reported to regulatory bodies or affected parties within legally mandated timeframes:</w:t>
      </w:r>
    </w:p>
    <w:p>
      <w:pPr>
        <w:pStyle w:val="ListParagraph"/>
        <w:numPr>
          <w:ilvl w:val="0"/>
          <w:numId w:val="2"/>
        </w:numPr>
        <w:spacing w:after="80"/>
      </w:pPr>
      <w:r>
        <w:rPr>
          <w:rFonts w:ascii="Arial" w:cs="Arial" w:eastAsia="Arial" w:hAnsi="Arial"/>
          <w:b w:val="false"/>
          <w:bCs w:val="false"/>
          <w:sz w:val="22"/>
          <w:szCs w:val="22"/>
        </w:rPr>
        <w:t xml:space="preserve">Personal data breaches — Notify data protection authority within 72 hours (GDPR/DPDP Act)</w:t>
      </w:r>
    </w:p>
    <w:p>
      <w:pPr>
        <w:pStyle w:val="ListParagraph"/>
        <w:numPr>
          <w:ilvl w:val="0"/>
          <w:numId w:val="2"/>
        </w:numPr>
        <w:spacing w:after="80"/>
      </w:pPr>
      <w:r>
        <w:rPr>
          <w:rFonts w:ascii="Arial" w:cs="Arial" w:eastAsia="Arial" w:hAnsi="Arial"/>
          <w:b w:val="false"/>
          <w:bCs w:val="false"/>
          <w:sz w:val="22"/>
          <w:szCs w:val="22"/>
        </w:rPr>
        <w:t xml:space="preserve">Financial fraud — Notify relevant financial regulator</w:t>
      </w:r>
    </w:p>
    <w:p>
      <w:pPr>
        <w:pStyle w:val="ListParagraph"/>
        <w:numPr>
          <w:ilvl w:val="0"/>
          <w:numId w:val="2"/>
        </w:numPr>
        <w:spacing w:after="80"/>
      </w:pPr>
      <w:r>
        <w:rPr>
          <w:rFonts w:ascii="Arial" w:cs="Arial" w:eastAsia="Arial" w:hAnsi="Arial"/>
          <w:b w:val="false"/>
          <w:bCs w:val="false"/>
          <w:sz w:val="22"/>
          <w:szCs w:val="22"/>
        </w:rPr>
        <w:t xml:space="preserve">Critical infrastructure attacks — Notify CERT-In (India) within 6 hours</w:t>
      </w:r>
    </w:p>
    <w:p>
      <w:pPr>
        <w:spacing w:after="80"/>
      </w:pPr>
      <w:r>
        <w:t xml:space="preserve"/>
      </w:r>
    </w:p>
    <w:p>
      <w:pPr>
        <w:pStyle w:val="Heading1"/>
      </w:pPr>
      <w:r>
        <w:rPr>
          <w:rFonts w:ascii="Arial" w:cs="Arial" w:eastAsia="Arial" w:hAnsi="Arial"/>
        </w:rPr>
        <w:t xml:space="preserve">8. Documentation and Evidence</w:t>
      </w:r>
    </w:p>
    <w:p>
      <w:pPr>
        <w:spacing w:after="120"/>
      </w:pPr>
      <w:r>
        <w:rPr>
          <w:rFonts w:ascii="Arial" w:cs="Arial" w:eastAsia="Arial" w:hAnsi="Arial"/>
          <w:sz w:val="22"/>
          <w:szCs w:val="22"/>
        </w:rPr>
        <w:t xml:space="preserve">All incidents must be documented in the organization's incident tracking system. Documentation must include: incident timeline, systems affected, actions taken, evidence collected, personnel involved, and final resolution. Evidence must be handled in accordance with chain of custody procedures.</w:t>
      </w:r>
    </w:p>
    <w:p>
      <w:pPr>
        <w:spacing w:after="80"/>
      </w:pPr>
      <w:r>
        <w:t xml:space="preserve"/>
      </w:r>
    </w:p>
    <w:p>
      <w:pPr>
        <w:pStyle w:val="Heading1"/>
      </w:pPr>
      <w:r>
        <w:rPr>
          <w:rFonts w:ascii="Arial" w:cs="Arial" w:eastAsia="Arial" w:hAnsi="Arial"/>
        </w:rPr>
        <w:t xml:space="preserve">9. Policy Review</w:t>
      </w:r>
    </w:p>
    <w:p>
      <w:pPr>
        <w:spacing w:after="120"/>
      </w:pPr>
      <w:r>
        <w:rPr>
          <w:rFonts w:ascii="Arial" w:cs="Arial" w:eastAsia="Arial" w:hAnsi="Arial"/>
          <w:sz w:val="22"/>
          <w:szCs w:val="22"/>
        </w:rPr>
        <w:t xml:space="preserve">This policy will be reviewed annually and after every significant incident. Updates will be communicated to all relevant personnel.</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360"/>
      </w:tabs>
    </w:pPr>
    <w:r>
      <w:rPr>
        <w:rFonts w:ascii="Arial" w:cs="Arial" w:eastAsia="Arial" w:hAnsi="Arial"/>
        <w:color w:val="888888"/>
        <w:sz w:val="16"/>
        <w:szCs w:val="16"/>
      </w:rPr>
      <w:t xml:space="preserve">CONFIDENTIAL — Internal Use Only	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360"/>
      </w:tabs>
    </w:pPr>
    <w:r>
      <w:rPr>
        <w:rFonts w:ascii="Arial" w:cs="Arial" w:eastAsia="Arial" w:hAnsi="Arial"/>
        <w:b/>
        <w:bCs/>
        <w:color w:val="1F4E79"/>
        <w:sz w:val="18"/>
        <w:szCs w:val="18"/>
      </w:rPr>
      <w:t xml:space="preserve">Incident Response Policy</w:t>
    </w:r>
    <w:r>
      <w:rPr>
        <w:rFonts w:ascii="Arial" w:cs="Arial" w:eastAsia="Arial" w:hAnsi="Arial"/>
        <w:color w:val="888888"/>
        <w:sz w:val="18"/>
        <w:szCs w:val="18"/>
      </w:rPr>
      <w:t xml:space="preserve">	POL-002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160" w:before="320"/>
      <w:outlineLvl w:val="0"/>
    </w:pPr>
    <w:rPr>
      <w:rFonts w:ascii="Arial" w:cs="Arial" w:eastAsia="Arial" w:hAnsi="Arial"/>
      <w:b/>
      <w:bCs/>
      <w:color w:val="1F4E79"/>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2026-04-19T09:29:31.436Z</dcterms:created>
  <dcterms:modified xsi:type="dcterms:W3CDTF">2026-04-19T09:29:31.436Z</dcterms:modified>
</cp:coreProperties>
</file>

<file path=docProps/custom.xml><?xml version="1.0" encoding="utf-8"?>
<Properties xmlns="http://schemas.openxmlformats.org/officeDocument/2006/custom-properties" xmlns:vt="http://schemas.openxmlformats.org/officeDocument/2006/docPropsVTypes"/>
</file>