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48"/>
          <w:szCs w:val="48"/>
        </w:rPr>
        <w:t xml:space="preserve">Access Control Policy</w:t>
      </w:r>
    </w:p>
    <w:p>
      <w:pPr>
        <w:spacing w:after="400"/>
        <w:jc w:val="center"/>
      </w:pPr>
      <w:r>
        <w:rPr>
          <w:rFonts w:ascii="Arial" w:cs="Arial" w:eastAsia="Arial" w:hAnsi="Arial"/>
          <w:i/>
          <w:iCs/>
          <w:color w:val="2E75B6"/>
          <w:sz w:val="26"/>
          <w:szCs w:val="26"/>
        </w:rPr>
        <w:t xml:space="preserve">Governing Access to Organizational Systems, Data, and Physical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Number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POL-003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Review 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April 19,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Policy Owner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Information Security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Internal Use Only</w:t>
            </w:r>
          </w:p>
        </w:tc>
      </w:tr>
    </w:tbl>
    <w:p>
      <w:pPr>
        <w:spacing w:after="80"/>
      </w:pPr>
      <w:r>
        <w:t xml:space="preserve"/>
      </w:r>
    </w:p>
    <w:p>
      <w:pPr>
        <w:spacing w:after="80"/>
      </w:pPr>
      <w:r>
        <w:t xml:space="preserve"/>
      </w:r>
    </w:p>
    <w:p>
      <w:pPr>
        <w:pStyle w:val="Heading1"/>
      </w:pPr>
      <w:r>
        <w:rPr>
          <w:rFonts w:ascii="Arial" w:cs="Arial" w:eastAsia="Arial" w:hAnsi="Arial"/>
        </w:rPr>
        <w:t xml:space="preserve">1. Purpose</w:t>
      </w:r>
    </w:p>
    <w:p>
      <w:pPr>
        <w:spacing w:after="120"/>
      </w:pPr>
      <w:r>
        <w:rPr>
          <w:rFonts w:ascii="Arial" w:cs="Arial" w:eastAsia="Arial" w:hAnsi="Arial"/>
          <w:sz w:val="22"/>
          <w:szCs w:val="22"/>
        </w:rPr>
        <w:t xml:space="preserve">This Access Control Policy defines the requirements for managing access to organizational information systems, data assets, and physical facilities. It ensures that access is granted on a need-to-know and least-privilege basis to protect the confidentiality, integrity, and availability of organizational resources.</w:t>
      </w:r>
    </w:p>
    <w:p>
      <w:pPr>
        <w:spacing w:after="80"/>
      </w:pPr>
      <w:r>
        <w:t xml:space="preserve"/>
      </w:r>
    </w:p>
    <w:p>
      <w:pPr>
        <w:pStyle w:val="Heading1"/>
      </w:pPr>
      <w:r>
        <w:rPr>
          <w:rFonts w:ascii="Arial" w:cs="Arial" w:eastAsia="Arial" w:hAnsi="Arial"/>
        </w:rPr>
        <w:t xml:space="preserve">2. Scope</w:t>
      </w:r>
    </w:p>
    <w:p>
      <w:pPr>
        <w:spacing w:after="120"/>
      </w:pPr>
      <w:r>
        <w:rPr>
          <w:rFonts w:ascii="Arial" w:cs="Arial" w:eastAsia="Arial" w:hAnsi="Arial"/>
          <w:sz w:val="22"/>
          <w:szCs w:val="22"/>
        </w:rPr>
        <w:t xml:space="preserve">This policy applies to all organizational information assets including applications, databases, networks, servers, cloud environments, and physical premises. It covers all employees, contractors, vendors, and any individual requiring access to organizational resources.</w:t>
      </w:r>
    </w:p>
    <w:p>
      <w:pPr>
        <w:spacing w:after="80"/>
      </w:pPr>
      <w:r>
        <w:t xml:space="preserve"/>
      </w:r>
    </w:p>
    <w:p>
      <w:pPr>
        <w:pStyle w:val="Heading1"/>
      </w:pPr>
      <w:r>
        <w:rPr>
          <w:rFonts w:ascii="Arial" w:cs="Arial" w:eastAsia="Arial" w:hAnsi="Arial"/>
        </w:rPr>
        <w:t xml:space="preserve">3. Access Control Principles</w:t>
      </w:r>
    </w:p>
    <w:p>
      <w:pPr>
        <w:pStyle w:val="ListParagraph"/>
        <w:numPr>
          <w:ilvl w:val="0"/>
          <w:numId w:val="2"/>
        </w:numPr>
        <w:spacing w:after="80"/>
      </w:pPr>
      <w:r>
        <w:rPr>
          <w:rFonts w:ascii="Arial" w:cs="Arial" w:eastAsia="Arial" w:hAnsi="Arial"/>
          <w:b w:val="false"/>
          <w:bCs w:val="false"/>
          <w:sz w:val="22"/>
          <w:szCs w:val="22"/>
        </w:rPr>
        <w:t xml:space="preserve">Least Privilege — Users are granted only the minimum access required to perform their job functions</w:t>
      </w:r>
    </w:p>
    <w:p>
      <w:pPr>
        <w:pStyle w:val="ListParagraph"/>
        <w:numPr>
          <w:ilvl w:val="0"/>
          <w:numId w:val="2"/>
        </w:numPr>
        <w:spacing w:after="80"/>
      </w:pPr>
      <w:r>
        <w:rPr>
          <w:rFonts w:ascii="Arial" w:cs="Arial" w:eastAsia="Arial" w:hAnsi="Arial"/>
          <w:b w:val="false"/>
          <w:bCs w:val="false"/>
          <w:sz w:val="22"/>
          <w:szCs w:val="22"/>
        </w:rPr>
        <w:t xml:space="preserve">Need to Know — Access is only granted when there is a legitimate business justification</w:t>
      </w:r>
    </w:p>
    <w:p>
      <w:pPr>
        <w:pStyle w:val="ListParagraph"/>
        <w:numPr>
          <w:ilvl w:val="0"/>
          <w:numId w:val="2"/>
        </w:numPr>
        <w:spacing w:after="80"/>
      </w:pPr>
      <w:r>
        <w:rPr>
          <w:rFonts w:ascii="Arial" w:cs="Arial" w:eastAsia="Arial" w:hAnsi="Arial"/>
          <w:b w:val="false"/>
          <w:bCs w:val="false"/>
          <w:sz w:val="22"/>
          <w:szCs w:val="22"/>
        </w:rPr>
        <w:t xml:space="preserve">Separation of Duties — Critical functions are divided among multiple individuals to prevent fraud</w:t>
      </w:r>
    </w:p>
    <w:p>
      <w:pPr>
        <w:pStyle w:val="ListParagraph"/>
        <w:numPr>
          <w:ilvl w:val="0"/>
          <w:numId w:val="2"/>
        </w:numPr>
        <w:spacing w:after="80"/>
      </w:pPr>
      <w:r>
        <w:rPr>
          <w:rFonts w:ascii="Arial" w:cs="Arial" w:eastAsia="Arial" w:hAnsi="Arial"/>
          <w:b w:val="false"/>
          <w:bCs w:val="false"/>
          <w:sz w:val="22"/>
          <w:szCs w:val="22"/>
        </w:rPr>
        <w:t xml:space="preserve">Zero Trust — Access is never implicitly trusted; continuous verification is required</w:t>
      </w:r>
    </w:p>
    <w:p>
      <w:pPr>
        <w:pStyle w:val="ListParagraph"/>
        <w:numPr>
          <w:ilvl w:val="0"/>
          <w:numId w:val="2"/>
        </w:numPr>
        <w:spacing w:after="80"/>
      </w:pPr>
      <w:r>
        <w:rPr>
          <w:rFonts w:ascii="Arial" w:cs="Arial" w:eastAsia="Arial" w:hAnsi="Arial"/>
          <w:b w:val="false"/>
          <w:bCs w:val="false"/>
          <w:sz w:val="22"/>
          <w:szCs w:val="22"/>
        </w:rPr>
        <w:t xml:space="preserve">Defence in Depth — Multiple layers of access controls are used to protect sensitive assets</w:t>
      </w:r>
    </w:p>
    <w:p>
      <w:pPr>
        <w:spacing w:after="80"/>
      </w:pPr>
      <w:r>
        <w:t xml:space="preserve"/>
      </w:r>
    </w:p>
    <w:p>
      <w:pPr>
        <w:pStyle w:val="Heading1"/>
      </w:pPr>
      <w:r>
        <w:rPr>
          <w:rFonts w:ascii="Arial" w:cs="Arial" w:eastAsia="Arial" w:hAnsi="Arial"/>
        </w:rPr>
        <w:t xml:space="preserve">4. User Access Management</w:t>
      </w:r>
    </w:p>
    <w:p>
      <w:pPr>
        <w:pStyle w:val="Heading2"/>
      </w:pPr>
      <w:r>
        <w:rPr>
          <w:rFonts w:ascii="Arial" w:cs="Arial" w:eastAsia="Arial" w:hAnsi="Arial"/>
        </w:rPr>
        <w:t xml:space="preserve">4.1 Access Provisioning</w:t>
      </w:r>
    </w:p>
    <w:p>
      <w:pPr>
        <w:pStyle w:val="ListParagraph"/>
        <w:numPr>
          <w:ilvl w:val="0"/>
          <w:numId w:val="2"/>
        </w:numPr>
        <w:spacing w:after="80"/>
      </w:pPr>
      <w:r>
        <w:rPr>
          <w:rFonts w:ascii="Arial" w:cs="Arial" w:eastAsia="Arial" w:hAnsi="Arial"/>
          <w:b w:val="false"/>
          <w:bCs w:val="false"/>
          <w:sz w:val="22"/>
          <w:szCs w:val="22"/>
        </w:rPr>
        <w:t xml:space="preserve">Access requests must be submitted through the formal IT Service Desk process</w:t>
      </w:r>
    </w:p>
    <w:p>
      <w:pPr>
        <w:pStyle w:val="ListParagraph"/>
        <w:numPr>
          <w:ilvl w:val="0"/>
          <w:numId w:val="2"/>
        </w:numPr>
        <w:spacing w:after="80"/>
      </w:pPr>
      <w:r>
        <w:rPr>
          <w:rFonts w:ascii="Arial" w:cs="Arial" w:eastAsia="Arial" w:hAnsi="Arial"/>
          <w:b w:val="false"/>
          <w:bCs w:val="false"/>
          <w:sz w:val="22"/>
          <w:szCs w:val="22"/>
        </w:rPr>
        <w:t xml:space="preserve">All requests must be approved by the user's direct manager and the data owner</w:t>
      </w:r>
    </w:p>
    <w:p>
      <w:pPr>
        <w:pStyle w:val="ListParagraph"/>
        <w:numPr>
          <w:ilvl w:val="0"/>
          <w:numId w:val="2"/>
        </w:numPr>
        <w:spacing w:after="80"/>
      </w:pPr>
      <w:r>
        <w:rPr>
          <w:rFonts w:ascii="Arial" w:cs="Arial" w:eastAsia="Arial" w:hAnsi="Arial"/>
          <w:b w:val="false"/>
          <w:bCs w:val="false"/>
          <w:sz w:val="22"/>
          <w:szCs w:val="22"/>
        </w:rPr>
        <w:t xml:space="preserve">Access must be provisioned within the defined SLA after approval</w:t>
      </w:r>
    </w:p>
    <w:p>
      <w:pPr>
        <w:pStyle w:val="ListParagraph"/>
        <w:numPr>
          <w:ilvl w:val="0"/>
          <w:numId w:val="2"/>
        </w:numPr>
        <w:spacing w:after="80"/>
      </w:pPr>
      <w:r>
        <w:rPr>
          <w:rFonts w:ascii="Arial" w:cs="Arial" w:eastAsia="Arial" w:hAnsi="Arial"/>
          <w:b w:val="false"/>
          <w:bCs w:val="false"/>
          <w:sz w:val="22"/>
          <w:szCs w:val="22"/>
        </w:rPr>
        <w:t xml:space="preserve">A unique user ID must be assigned to each individual — shared accounts are prohibited</w:t>
      </w:r>
    </w:p>
    <w:p>
      <w:pPr>
        <w:spacing w:after="80"/>
      </w:pPr>
      <w:r>
        <w:t xml:space="preserve"/>
      </w:r>
    </w:p>
    <w:p>
      <w:pPr>
        <w:pStyle w:val="Heading2"/>
      </w:pPr>
      <w:r>
        <w:rPr>
          <w:rFonts w:ascii="Arial" w:cs="Arial" w:eastAsia="Arial" w:hAnsi="Arial"/>
        </w:rPr>
        <w:t xml:space="preserve">4.2 Access Reviews</w:t>
      </w:r>
    </w:p>
    <w:p>
      <w:pPr>
        <w:pStyle w:val="ListParagraph"/>
        <w:numPr>
          <w:ilvl w:val="0"/>
          <w:numId w:val="2"/>
        </w:numPr>
        <w:spacing w:after="80"/>
      </w:pPr>
      <w:r>
        <w:rPr>
          <w:rFonts w:ascii="Arial" w:cs="Arial" w:eastAsia="Arial" w:hAnsi="Arial"/>
          <w:b w:val="false"/>
          <w:bCs w:val="false"/>
          <w:sz w:val="22"/>
          <w:szCs w:val="22"/>
        </w:rPr>
        <w:t xml:space="preserve">All user access rights must be reviewed quarterly by system owners</w:t>
      </w:r>
    </w:p>
    <w:p>
      <w:pPr>
        <w:pStyle w:val="ListParagraph"/>
        <w:numPr>
          <w:ilvl w:val="0"/>
          <w:numId w:val="2"/>
        </w:numPr>
        <w:spacing w:after="80"/>
      </w:pPr>
      <w:r>
        <w:rPr>
          <w:rFonts w:ascii="Arial" w:cs="Arial" w:eastAsia="Arial" w:hAnsi="Arial"/>
          <w:b w:val="false"/>
          <w:bCs w:val="false"/>
          <w:sz w:val="22"/>
          <w:szCs w:val="22"/>
        </w:rPr>
        <w:t xml:space="preserve">Privileged access (admin accounts) must be reviewed monthly</w:t>
      </w:r>
    </w:p>
    <w:p>
      <w:pPr>
        <w:pStyle w:val="ListParagraph"/>
        <w:numPr>
          <w:ilvl w:val="0"/>
          <w:numId w:val="2"/>
        </w:numPr>
        <w:spacing w:after="80"/>
      </w:pPr>
      <w:r>
        <w:rPr>
          <w:rFonts w:ascii="Arial" w:cs="Arial" w:eastAsia="Arial" w:hAnsi="Arial"/>
          <w:b w:val="false"/>
          <w:bCs w:val="false"/>
          <w:sz w:val="22"/>
          <w:szCs w:val="22"/>
        </w:rPr>
        <w:t xml:space="preserve">Access reviews must be documented and retained for audit purposes for a minimum of 3 years</w:t>
      </w:r>
    </w:p>
    <w:p>
      <w:pPr>
        <w:spacing w:after="80"/>
      </w:pPr>
      <w:r>
        <w:t xml:space="preserve"/>
      </w:r>
    </w:p>
    <w:p>
      <w:pPr>
        <w:pStyle w:val="Heading2"/>
      </w:pPr>
      <w:r>
        <w:rPr>
          <w:rFonts w:ascii="Arial" w:cs="Arial" w:eastAsia="Arial" w:hAnsi="Arial"/>
        </w:rPr>
        <w:t xml:space="preserve">4.3 Access Revocation</w:t>
      </w:r>
    </w:p>
    <w:p>
      <w:pPr>
        <w:pStyle w:val="ListParagraph"/>
        <w:numPr>
          <w:ilvl w:val="0"/>
          <w:numId w:val="2"/>
        </w:numPr>
        <w:spacing w:after="80"/>
      </w:pPr>
      <w:r>
        <w:rPr>
          <w:rFonts w:ascii="Arial" w:cs="Arial" w:eastAsia="Arial" w:hAnsi="Arial"/>
          <w:b w:val="false"/>
          <w:bCs w:val="false"/>
          <w:sz w:val="22"/>
          <w:szCs w:val="22"/>
        </w:rPr>
        <w:t xml:space="preserve">Access must be revoked within 24 hours of an employee's resignation or termination</w:t>
      </w:r>
    </w:p>
    <w:p>
      <w:pPr>
        <w:pStyle w:val="ListParagraph"/>
        <w:numPr>
          <w:ilvl w:val="0"/>
          <w:numId w:val="2"/>
        </w:numPr>
        <w:spacing w:after="80"/>
      </w:pPr>
      <w:r>
        <w:rPr>
          <w:rFonts w:ascii="Arial" w:cs="Arial" w:eastAsia="Arial" w:hAnsi="Arial"/>
          <w:b w:val="false"/>
          <w:bCs w:val="false"/>
          <w:sz w:val="22"/>
          <w:szCs w:val="22"/>
        </w:rPr>
        <w:t xml:space="preserve">Contractor access must be revoked on or before the contract end date</w:t>
      </w:r>
    </w:p>
    <w:p>
      <w:pPr>
        <w:pStyle w:val="ListParagraph"/>
        <w:numPr>
          <w:ilvl w:val="0"/>
          <w:numId w:val="2"/>
        </w:numPr>
        <w:spacing w:after="80"/>
      </w:pPr>
      <w:r>
        <w:rPr>
          <w:rFonts w:ascii="Arial" w:cs="Arial" w:eastAsia="Arial" w:hAnsi="Arial"/>
          <w:b w:val="false"/>
          <w:bCs w:val="false"/>
          <w:sz w:val="22"/>
          <w:szCs w:val="22"/>
        </w:rPr>
        <w:t xml:space="preserve">Access for employees on extended leave must be suspended after 30 days of inactivity</w:t>
      </w:r>
    </w:p>
    <w:p>
      <w:pPr>
        <w:pStyle w:val="ListParagraph"/>
        <w:numPr>
          <w:ilvl w:val="0"/>
          <w:numId w:val="2"/>
        </w:numPr>
        <w:spacing w:after="80"/>
      </w:pPr>
      <w:r>
        <w:rPr>
          <w:rFonts w:ascii="Arial" w:cs="Arial" w:eastAsia="Arial" w:hAnsi="Arial"/>
          <w:b w:val="false"/>
          <w:bCs w:val="false"/>
          <w:sz w:val="22"/>
          <w:szCs w:val="22"/>
        </w:rPr>
        <w:t xml:space="preserve">Emergency revocation must be possible within 1 hour for security incidents</w:t>
      </w:r>
    </w:p>
    <w:p>
      <w:pPr>
        <w:spacing w:after="80"/>
      </w:pPr>
      <w:r>
        <w:t xml:space="preserve"/>
      </w:r>
    </w:p>
    <w:p>
      <w:pPr>
        <w:pStyle w:val="Heading1"/>
      </w:pPr>
      <w:r>
        <w:rPr>
          <w:rFonts w:ascii="Arial" w:cs="Arial" w:eastAsia="Arial" w:hAnsi="Arial"/>
        </w:rPr>
        <w:t xml:space="preserve">5. Authentication Requirements</w:t>
      </w:r>
    </w:p>
    <w:p>
      <w:pPr>
        <w:pStyle w:val="Heading2"/>
      </w:pPr>
      <w:r>
        <w:rPr>
          <w:rFonts w:ascii="Arial" w:cs="Arial" w:eastAsia="Arial" w:hAnsi="Arial"/>
        </w:rPr>
        <w:t xml:space="preserve">5.1 Password Standards</w:t>
      </w:r>
    </w:p>
    <w:p>
      <w:pPr>
        <w:pStyle w:val="ListParagraph"/>
        <w:numPr>
          <w:ilvl w:val="0"/>
          <w:numId w:val="2"/>
        </w:numPr>
        <w:spacing w:after="80"/>
      </w:pPr>
      <w:r>
        <w:rPr>
          <w:rFonts w:ascii="Arial" w:cs="Arial" w:eastAsia="Arial" w:hAnsi="Arial"/>
          <w:b w:val="false"/>
          <w:bCs w:val="false"/>
          <w:sz w:val="22"/>
          <w:szCs w:val="22"/>
        </w:rPr>
        <w:t xml:space="preserve">Minimum password length: 12 characters</w:t>
      </w:r>
    </w:p>
    <w:p>
      <w:pPr>
        <w:pStyle w:val="ListParagraph"/>
        <w:numPr>
          <w:ilvl w:val="0"/>
          <w:numId w:val="2"/>
        </w:numPr>
        <w:spacing w:after="80"/>
      </w:pPr>
      <w:r>
        <w:rPr>
          <w:rFonts w:ascii="Arial" w:cs="Arial" w:eastAsia="Arial" w:hAnsi="Arial"/>
          <w:b w:val="false"/>
          <w:bCs w:val="false"/>
          <w:sz w:val="22"/>
          <w:szCs w:val="22"/>
        </w:rPr>
        <w:t xml:space="preserve">Must contain: uppercase letters, lowercase letters, numbers, and special characters</w:t>
      </w:r>
    </w:p>
    <w:p>
      <w:pPr>
        <w:pStyle w:val="ListParagraph"/>
        <w:numPr>
          <w:ilvl w:val="0"/>
          <w:numId w:val="2"/>
        </w:numPr>
        <w:spacing w:after="80"/>
      </w:pPr>
      <w:r>
        <w:rPr>
          <w:rFonts w:ascii="Arial" w:cs="Arial" w:eastAsia="Arial" w:hAnsi="Arial"/>
          <w:b w:val="false"/>
          <w:bCs w:val="false"/>
          <w:sz w:val="22"/>
          <w:szCs w:val="22"/>
        </w:rPr>
        <w:t xml:space="preserve">Passwords must not be reused for a minimum of 12 previous passwords</w:t>
      </w:r>
    </w:p>
    <w:p>
      <w:pPr>
        <w:pStyle w:val="ListParagraph"/>
        <w:numPr>
          <w:ilvl w:val="0"/>
          <w:numId w:val="2"/>
        </w:numPr>
        <w:spacing w:after="80"/>
      </w:pPr>
      <w:r>
        <w:rPr>
          <w:rFonts w:ascii="Arial" w:cs="Arial" w:eastAsia="Arial" w:hAnsi="Arial"/>
          <w:b w:val="false"/>
          <w:bCs w:val="false"/>
          <w:sz w:val="22"/>
          <w:szCs w:val="22"/>
        </w:rPr>
        <w:t xml:space="preserve">Passwords must be changed every 90 days for standard accounts, every 30 days for privileged accounts</w:t>
      </w:r>
    </w:p>
    <w:p>
      <w:pPr>
        <w:pStyle w:val="ListParagraph"/>
        <w:numPr>
          <w:ilvl w:val="0"/>
          <w:numId w:val="2"/>
        </w:numPr>
        <w:spacing w:after="80"/>
      </w:pPr>
      <w:r>
        <w:rPr>
          <w:rFonts w:ascii="Arial" w:cs="Arial" w:eastAsia="Arial" w:hAnsi="Arial"/>
          <w:b w:val="false"/>
          <w:bCs w:val="false"/>
          <w:sz w:val="22"/>
          <w:szCs w:val="22"/>
        </w:rPr>
        <w:t xml:space="preserve">Default and vendor-supplied passwords must be changed before system deployment</w:t>
      </w:r>
    </w:p>
    <w:p>
      <w:pPr>
        <w:spacing w:after="80"/>
      </w:pPr>
      <w:r>
        <w:t xml:space="preserve"/>
      </w:r>
    </w:p>
    <w:p>
      <w:pPr>
        <w:pStyle w:val="Heading2"/>
      </w:pPr>
      <w:r>
        <w:rPr>
          <w:rFonts w:ascii="Arial" w:cs="Arial" w:eastAsia="Arial" w:hAnsi="Arial"/>
        </w:rPr>
        <w:t xml:space="preserve">5.2 Multi-Factor Authentication (MFA)</w:t>
      </w:r>
    </w:p>
    <w:p>
      <w:pPr>
        <w:pStyle w:val="ListParagraph"/>
        <w:numPr>
          <w:ilvl w:val="0"/>
          <w:numId w:val="2"/>
        </w:numPr>
        <w:spacing w:after="80"/>
      </w:pPr>
      <w:r>
        <w:rPr>
          <w:rFonts w:ascii="Arial" w:cs="Arial" w:eastAsia="Arial" w:hAnsi="Arial"/>
          <w:b w:val="false"/>
          <w:bCs w:val="false"/>
          <w:sz w:val="22"/>
          <w:szCs w:val="22"/>
        </w:rPr>
        <w:t xml:space="preserve">MFA is mandatory for all remote access connections</w:t>
      </w:r>
    </w:p>
    <w:p>
      <w:pPr>
        <w:pStyle w:val="ListParagraph"/>
        <w:numPr>
          <w:ilvl w:val="0"/>
          <w:numId w:val="2"/>
        </w:numPr>
        <w:spacing w:after="80"/>
      </w:pPr>
      <w:r>
        <w:rPr>
          <w:rFonts w:ascii="Arial" w:cs="Arial" w:eastAsia="Arial" w:hAnsi="Arial"/>
          <w:b w:val="false"/>
          <w:bCs w:val="false"/>
          <w:sz w:val="22"/>
          <w:szCs w:val="22"/>
        </w:rPr>
        <w:t xml:space="preserve">MFA is mandatory for all privileged and administrative accounts</w:t>
      </w:r>
    </w:p>
    <w:p>
      <w:pPr>
        <w:pStyle w:val="ListParagraph"/>
        <w:numPr>
          <w:ilvl w:val="0"/>
          <w:numId w:val="2"/>
        </w:numPr>
        <w:spacing w:after="80"/>
      </w:pPr>
      <w:r>
        <w:rPr>
          <w:rFonts w:ascii="Arial" w:cs="Arial" w:eastAsia="Arial" w:hAnsi="Arial"/>
          <w:b w:val="false"/>
          <w:bCs w:val="false"/>
          <w:sz w:val="22"/>
          <w:szCs w:val="22"/>
        </w:rPr>
        <w:t xml:space="preserve">MFA is required for access to systems containing sensitive or confidential data</w:t>
      </w:r>
    </w:p>
    <w:p>
      <w:pPr>
        <w:pStyle w:val="ListParagraph"/>
        <w:numPr>
          <w:ilvl w:val="0"/>
          <w:numId w:val="2"/>
        </w:numPr>
        <w:spacing w:after="80"/>
      </w:pPr>
      <w:r>
        <w:rPr>
          <w:rFonts w:ascii="Arial" w:cs="Arial" w:eastAsia="Arial" w:hAnsi="Arial"/>
          <w:b w:val="false"/>
          <w:bCs w:val="false"/>
          <w:sz w:val="22"/>
          <w:szCs w:val="22"/>
        </w:rPr>
        <w:t xml:space="preserve">Approved MFA methods: TOTP authenticator apps, hardware tokens (SMS is discouraged)</w:t>
      </w:r>
    </w:p>
    <w:p>
      <w:pPr>
        <w:spacing w:after="80"/>
      </w:pPr>
      <w:r>
        <w:t xml:space="preserve"/>
      </w:r>
    </w:p>
    <w:p>
      <w:pPr>
        <w:pStyle w:val="Heading1"/>
      </w:pPr>
      <w:r>
        <w:rPr>
          <w:rFonts w:ascii="Arial" w:cs="Arial" w:eastAsia="Arial" w:hAnsi="Arial"/>
        </w:rPr>
        <w:t xml:space="preserve">6. Privileged Access Management</w:t>
      </w:r>
    </w:p>
    <w:p>
      <w:pPr>
        <w:pStyle w:val="ListParagraph"/>
        <w:numPr>
          <w:ilvl w:val="0"/>
          <w:numId w:val="2"/>
        </w:numPr>
        <w:spacing w:after="80"/>
      </w:pPr>
      <w:r>
        <w:rPr>
          <w:rFonts w:ascii="Arial" w:cs="Arial" w:eastAsia="Arial" w:hAnsi="Arial"/>
          <w:b w:val="false"/>
          <w:bCs w:val="false"/>
          <w:sz w:val="22"/>
          <w:szCs w:val="22"/>
        </w:rPr>
        <w:t xml:space="preserve">Privileged accounts (root, admin) must be separate from standard user accounts</w:t>
      </w:r>
    </w:p>
    <w:p>
      <w:pPr>
        <w:pStyle w:val="ListParagraph"/>
        <w:numPr>
          <w:ilvl w:val="0"/>
          <w:numId w:val="2"/>
        </w:numPr>
        <w:spacing w:after="80"/>
      </w:pPr>
      <w:r>
        <w:rPr>
          <w:rFonts w:ascii="Arial" w:cs="Arial" w:eastAsia="Arial" w:hAnsi="Arial"/>
          <w:b w:val="false"/>
          <w:bCs w:val="false"/>
          <w:sz w:val="22"/>
          <w:szCs w:val="22"/>
        </w:rPr>
        <w:t xml:space="preserve">Privileged access sessions must be logged and monitored</w:t>
      </w:r>
    </w:p>
    <w:p>
      <w:pPr>
        <w:pStyle w:val="ListParagraph"/>
        <w:numPr>
          <w:ilvl w:val="0"/>
          <w:numId w:val="2"/>
        </w:numPr>
        <w:spacing w:after="80"/>
      </w:pPr>
      <w:r>
        <w:rPr>
          <w:rFonts w:ascii="Arial" w:cs="Arial" w:eastAsia="Arial" w:hAnsi="Arial"/>
          <w:b w:val="false"/>
          <w:bCs w:val="false"/>
          <w:sz w:val="22"/>
          <w:szCs w:val="22"/>
        </w:rPr>
        <w:t xml:space="preserve">Privileged access must be granted on a time-limited, just-in-time basis where possible</w:t>
      </w:r>
    </w:p>
    <w:p>
      <w:pPr>
        <w:pStyle w:val="ListParagraph"/>
        <w:numPr>
          <w:ilvl w:val="0"/>
          <w:numId w:val="2"/>
        </w:numPr>
        <w:spacing w:after="80"/>
      </w:pPr>
      <w:r>
        <w:rPr>
          <w:rFonts w:ascii="Arial" w:cs="Arial" w:eastAsia="Arial" w:hAnsi="Arial"/>
          <w:b w:val="false"/>
          <w:bCs w:val="false"/>
          <w:sz w:val="22"/>
          <w:szCs w:val="22"/>
        </w:rPr>
        <w:t xml:space="preserve">Privileged account credentials must be stored in an approved Privileged Access Management (PAM) tool</w:t>
      </w:r>
    </w:p>
    <w:p>
      <w:pPr>
        <w:pStyle w:val="ListParagraph"/>
        <w:numPr>
          <w:ilvl w:val="0"/>
          <w:numId w:val="2"/>
        </w:numPr>
        <w:spacing w:after="80"/>
      </w:pPr>
      <w:r>
        <w:rPr>
          <w:rFonts w:ascii="Arial" w:cs="Arial" w:eastAsia="Arial" w:hAnsi="Arial"/>
          <w:b w:val="false"/>
          <w:bCs w:val="false"/>
          <w:sz w:val="22"/>
          <w:szCs w:val="22"/>
        </w:rPr>
        <w:t xml:space="preserve">Privileged users must complete additional security training annually</w:t>
      </w:r>
    </w:p>
    <w:p>
      <w:pPr>
        <w:spacing w:after="80"/>
      </w:pPr>
      <w:r>
        <w:t xml:space="preserve"/>
      </w:r>
    </w:p>
    <w:p>
      <w:pPr>
        <w:pStyle w:val="Heading1"/>
      </w:pPr>
      <w:r>
        <w:rPr>
          <w:rFonts w:ascii="Arial" w:cs="Arial" w:eastAsia="Arial" w:hAnsi="Arial"/>
        </w:rPr>
        <w:t xml:space="preserve">7. Remote Access</w:t>
      </w:r>
    </w:p>
    <w:p>
      <w:pPr>
        <w:pStyle w:val="ListParagraph"/>
        <w:numPr>
          <w:ilvl w:val="0"/>
          <w:numId w:val="2"/>
        </w:numPr>
        <w:spacing w:after="80"/>
      </w:pPr>
      <w:r>
        <w:rPr>
          <w:rFonts w:ascii="Arial" w:cs="Arial" w:eastAsia="Arial" w:hAnsi="Arial"/>
          <w:b w:val="false"/>
          <w:bCs w:val="false"/>
          <w:sz w:val="22"/>
          <w:szCs w:val="22"/>
        </w:rPr>
        <w:t xml:space="preserve">All remote access to organizational systems must use an approved VPN with MFA</w:t>
      </w:r>
    </w:p>
    <w:p>
      <w:pPr>
        <w:pStyle w:val="ListParagraph"/>
        <w:numPr>
          <w:ilvl w:val="0"/>
          <w:numId w:val="2"/>
        </w:numPr>
        <w:spacing w:after="80"/>
      </w:pPr>
      <w:r>
        <w:rPr>
          <w:rFonts w:ascii="Arial" w:cs="Arial" w:eastAsia="Arial" w:hAnsi="Arial"/>
          <w:b w:val="false"/>
          <w:bCs w:val="false"/>
          <w:sz w:val="22"/>
          <w:szCs w:val="22"/>
        </w:rPr>
        <w:t xml:space="preserve">Remote desktop access is only permitted to approved systems with full session logging</w:t>
      </w:r>
    </w:p>
    <w:p>
      <w:pPr>
        <w:pStyle w:val="ListParagraph"/>
        <w:numPr>
          <w:ilvl w:val="0"/>
          <w:numId w:val="2"/>
        </w:numPr>
        <w:spacing w:after="80"/>
      </w:pPr>
      <w:r>
        <w:rPr>
          <w:rFonts w:ascii="Arial" w:cs="Arial" w:eastAsia="Arial" w:hAnsi="Arial"/>
          <w:b w:val="false"/>
          <w:bCs w:val="false"/>
          <w:sz w:val="22"/>
          <w:szCs w:val="22"/>
        </w:rPr>
        <w:t xml:space="preserve">Remote sessions must automatically time out after 15 minutes of inactivity</w:t>
      </w:r>
    </w:p>
    <w:p>
      <w:pPr>
        <w:pStyle w:val="ListParagraph"/>
        <w:numPr>
          <w:ilvl w:val="0"/>
          <w:numId w:val="2"/>
        </w:numPr>
        <w:spacing w:after="80"/>
      </w:pPr>
      <w:r>
        <w:rPr>
          <w:rFonts w:ascii="Arial" w:cs="Arial" w:eastAsia="Arial" w:hAnsi="Arial"/>
          <w:b w:val="false"/>
          <w:bCs w:val="false"/>
          <w:sz w:val="22"/>
          <w:szCs w:val="22"/>
        </w:rPr>
        <w:t xml:space="preserve">Third-party remote access must be authorized in advance and limited to specific systems and time windows</w:t>
      </w:r>
    </w:p>
    <w:p>
      <w:pPr>
        <w:spacing w:after="80"/>
      </w:pPr>
      <w:r>
        <w:t xml:space="preserve"/>
      </w:r>
    </w:p>
    <w:p>
      <w:pPr>
        <w:pStyle w:val="Heading1"/>
      </w:pPr>
      <w:r>
        <w:rPr>
          <w:rFonts w:ascii="Arial" w:cs="Arial" w:eastAsia="Arial" w:hAnsi="Arial"/>
        </w:rPr>
        <w:t xml:space="preserve">8. Physical Access Control</w:t>
      </w:r>
    </w:p>
    <w:p>
      <w:pPr>
        <w:pStyle w:val="ListParagraph"/>
        <w:numPr>
          <w:ilvl w:val="0"/>
          <w:numId w:val="2"/>
        </w:numPr>
        <w:spacing w:after="80"/>
      </w:pPr>
      <w:r>
        <w:rPr>
          <w:rFonts w:ascii="Arial" w:cs="Arial" w:eastAsia="Arial" w:hAnsi="Arial"/>
          <w:b w:val="false"/>
          <w:bCs w:val="false"/>
          <w:sz w:val="22"/>
          <w:szCs w:val="22"/>
        </w:rPr>
        <w:t xml:space="preserve">Access to server rooms and data centers is restricted to authorized IT personnel only</w:t>
      </w:r>
    </w:p>
    <w:p>
      <w:pPr>
        <w:pStyle w:val="ListParagraph"/>
        <w:numPr>
          <w:ilvl w:val="0"/>
          <w:numId w:val="2"/>
        </w:numPr>
        <w:spacing w:after="80"/>
      </w:pPr>
      <w:r>
        <w:rPr>
          <w:rFonts w:ascii="Arial" w:cs="Arial" w:eastAsia="Arial" w:hAnsi="Arial"/>
          <w:b w:val="false"/>
          <w:bCs w:val="false"/>
          <w:sz w:val="22"/>
          <w:szCs w:val="22"/>
        </w:rPr>
        <w:t xml:space="preserve">Physical access must be controlled by electronic key cards or biometric systems</w:t>
      </w:r>
    </w:p>
    <w:p>
      <w:pPr>
        <w:pStyle w:val="ListParagraph"/>
        <w:numPr>
          <w:ilvl w:val="0"/>
          <w:numId w:val="2"/>
        </w:numPr>
        <w:spacing w:after="80"/>
      </w:pPr>
      <w:r>
        <w:rPr>
          <w:rFonts w:ascii="Arial" w:cs="Arial" w:eastAsia="Arial" w:hAnsi="Arial"/>
          <w:b w:val="false"/>
          <w:bCs w:val="false"/>
          <w:sz w:val="22"/>
          <w:szCs w:val="22"/>
        </w:rPr>
        <w:t xml:space="preserve">Physical access logs must be retained for a minimum of 12 months</w:t>
      </w:r>
    </w:p>
    <w:p>
      <w:pPr>
        <w:pStyle w:val="ListParagraph"/>
        <w:numPr>
          <w:ilvl w:val="0"/>
          <w:numId w:val="2"/>
        </w:numPr>
        <w:spacing w:after="80"/>
      </w:pPr>
      <w:r>
        <w:rPr>
          <w:rFonts w:ascii="Arial" w:cs="Arial" w:eastAsia="Arial" w:hAnsi="Arial"/>
          <w:b w:val="false"/>
          <w:bCs w:val="false"/>
          <w:sz w:val="22"/>
          <w:szCs w:val="22"/>
        </w:rPr>
        <w:t xml:space="preserve">Visitors must be escorted at all times in restricted areas</w:t>
      </w:r>
    </w:p>
    <w:p>
      <w:pPr>
        <w:pStyle w:val="ListParagraph"/>
        <w:numPr>
          <w:ilvl w:val="0"/>
          <w:numId w:val="2"/>
        </w:numPr>
        <w:spacing w:after="80"/>
      </w:pPr>
      <w:r>
        <w:rPr>
          <w:rFonts w:ascii="Arial" w:cs="Arial" w:eastAsia="Arial" w:hAnsi="Arial"/>
          <w:b w:val="false"/>
          <w:bCs w:val="false"/>
          <w:sz w:val="22"/>
          <w:szCs w:val="22"/>
        </w:rPr>
        <w:t xml:space="preserve">Tailgating (following someone through a secured door) is strictly prohibited</w:t>
      </w:r>
    </w:p>
    <w:p>
      <w:pPr>
        <w:spacing w:after="80"/>
      </w:pPr>
      <w:r>
        <w:t xml:space="preserve"/>
      </w:r>
    </w:p>
    <w:p>
      <w:pPr>
        <w:pStyle w:val="Heading1"/>
      </w:pPr>
      <w:r>
        <w:rPr>
          <w:rFonts w:ascii="Arial" w:cs="Arial" w:eastAsia="Arial" w:hAnsi="Arial"/>
        </w:rPr>
        <w:t xml:space="preserve">9. Cloud and Third-Party Access</w:t>
      </w:r>
    </w:p>
    <w:p>
      <w:pPr>
        <w:pStyle w:val="ListParagraph"/>
        <w:numPr>
          <w:ilvl w:val="0"/>
          <w:numId w:val="2"/>
        </w:numPr>
        <w:spacing w:after="80"/>
      </w:pPr>
      <w:r>
        <w:rPr>
          <w:rFonts w:ascii="Arial" w:cs="Arial" w:eastAsia="Arial" w:hAnsi="Arial"/>
          <w:b w:val="false"/>
          <w:bCs w:val="false"/>
          <w:sz w:val="22"/>
          <w:szCs w:val="22"/>
        </w:rPr>
        <w:t xml:space="preserve">Cloud service access must follow the same least-privilege principles as on-premises systems</w:t>
      </w:r>
    </w:p>
    <w:p>
      <w:pPr>
        <w:pStyle w:val="ListParagraph"/>
        <w:numPr>
          <w:ilvl w:val="0"/>
          <w:numId w:val="2"/>
        </w:numPr>
        <w:spacing w:after="80"/>
      </w:pPr>
      <w:r>
        <w:rPr>
          <w:rFonts w:ascii="Arial" w:cs="Arial" w:eastAsia="Arial" w:hAnsi="Arial"/>
          <w:b w:val="false"/>
          <w:bCs w:val="false"/>
          <w:sz w:val="22"/>
          <w:szCs w:val="22"/>
        </w:rPr>
        <w:t xml:space="preserve">Service accounts used for integrations must be assigned minimum required permissions only</w:t>
      </w:r>
    </w:p>
    <w:p>
      <w:pPr>
        <w:pStyle w:val="ListParagraph"/>
        <w:numPr>
          <w:ilvl w:val="0"/>
          <w:numId w:val="2"/>
        </w:numPr>
        <w:spacing w:after="80"/>
      </w:pPr>
      <w:r>
        <w:rPr>
          <w:rFonts w:ascii="Arial" w:cs="Arial" w:eastAsia="Arial" w:hAnsi="Arial"/>
          <w:b w:val="false"/>
          <w:bCs w:val="false"/>
          <w:sz w:val="22"/>
          <w:szCs w:val="22"/>
        </w:rPr>
        <w:t xml:space="preserve">Third-party access must be limited to specific resources, time periods, and IP ranges where possible</w:t>
      </w:r>
    </w:p>
    <w:p>
      <w:pPr>
        <w:pStyle w:val="ListParagraph"/>
        <w:numPr>
          <w:ilvl w:val="0"/>
          <w:numId w:val="2"/>
        </w:numPr>
        <w:spacing w:after="80"/>
      </w:pPr>
      <w:r>
        <w:rPr>
          <w:rFonts w:ascii="Arial" w:cs="Arial" w:eastAsia="Arial" w:hAnsi="Arial"/>
          <w:b w:val="false"/>
          <w:bCs w:val="false"/>
          <w:sz w:val="22"/>
          <w:szCs w:val="22"/>
        </w:rPr>
        <w:t xml:space="preserve">Third-party access agreements must include security requirements and right-to-audit clauses</w:t>
      </w:r>
    </w:p>
    <w:p>
      <w:pPr>
        <w:spacing w:after="80"/>
      </w:pPr>
      <w:r>
        <w:t xml:space="preserve"/>
      </w:r>
    </w:p>
    <w:p>
      <w:pPr>
        <w:pStyle w:val="Heading1"/>
      </w:pPr>
      <w:r>
        <w:rPr>
          <w:rFonts w:ascii="Arial" w:cs="Arial" w:eastAsia="Arial" w:hAnsi="Arial"/>
        </w:rPr>
        <w:t xml:space="preserve">10. Logging and Monitoring</w:t>
      </w:r>
    </w:p>
    <w:p>
      <w:pPr>
        <w:spacing w:after="120"/>
      </w:pPr>
      <w:r>
        <w:rPr>
          <w:rFonts w:ascii="Arial" w:cs="Arial" w:eastAsia="Arial" w:hAnsi="Arial"/>
          <w:sz w:val="22"/>
          <w:szCs w:val="22"/>
        </w:rPr>
        <w:t xml:space="preserve">All access to critical systems and sensitive data must be logged. Logs must capture: user identity, timestamp, action performed, and outcome (success/failure). Failed login attempts exceeding 5 in a 10-minute window must trigger an alert and account lockout. Access logs must be retained for a minimum of 12 months.</w:t>
      </w:r>
    </w:p>
    <w:p>
      <w:pPr>
        <w:spacing w:after="80"/>
      </w:pPr>
      <w:r>
        <w:t xml:space="preserve"/>
      </w:r>
    </w:p>
    <w:p>
      <w:pPr>
        <w:pStyle w:val="Heading1"/>
      </w:pPr>
      <w:r>
        <w:rPr>
          <w:rFonts w:ascii="Arial" w:cs="Arial" w:eastAsia="Arial" w:hAnsi="Arial"/>
        </w:rPr>
        <w:t xml:space="preserve">11. Violations</w:t>
      </w:r>
    </w:p>
    <w:p>
      <w:pPr>
        <w:spacing w:after="120"/>
      </w:pPr>
      <w:r>
        <w:rPr>
          <w:rFonts w:ascii="Arial" w:cs="Arial" w:eastAsia="Arial" w:hAnsi="Arial"/>
          <w:sz w:val="22"/>
          <w:szCs w:val="22"/>
        </w:rPr>
        <w:t xml:space="preserve">Violations of this policy including unauthorized access attempts, sharing credentials, or bypassing access controls will result in immediate access revocation and may result in disciplinary action, including termination and legal proceedings.</w:t>
      </w:r>
    </w:p>
    <w:p>
      <w:pPr>
        <w:spacing w:after="80"/>
      </w:pPr>
      <w:r>
        <w:t xml:space="preserve"/>
      </w:r>
    </w:p>
    <w:p>
      <w:pPr>
        <w:pStyle w:val="Heading1"/>
      </w:pPr>
      <w:r>
        <w:rPr>
          <w:rFonts w:ascii="Arial" w:cs="Arial" w:eastAsia="Arial" w:hAnsi="Arial"/>
        </w:rPr>
        <w:t xml:space="preserve">12. Policy Review</w:t>
      </w:r>
    </w:p>
    <w:p>
      <w:pPr>
        <w:spacing w:after="120"/>
      </w:pPr>
      <w:r>
        <w:rPr>
          <w:rFonts w:ascii="Arial" w:cs="Arial" w:eastAsia="Arial" w:hAnsi="Arial"/>
          <w:sz w:val="22"/>
          <w:szCs w:val="22"/>
        </w:rPr>
        <w:t xml:space="preserve">This policy will be reviewed annually, or following significant changes to organizational structure, technology, or regulatory requirements.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Access Control Policy</w:t>
    </w:r>
    <w:r>
      <w:rPr>
        <w:rFonts w:ascii="Arial" w:cs="Arial" w:eastAsia="Arial" w:hAnsi="Arial"/>
        <w:color w:val="888888"/>
        <w:sz w:val="18"/>
        <w:szCs w:val="18"/>
      </w:rPr>
      <w:t xml:space="preserve">	POL-003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2026-04-19T09:29:31.439Z</dcterms:created>
  <dcterms:modified xsi:type="dcterms:W3CDTF">2026-04-19T09:29:31.439Z</dcterms:modified>
</cp:coreProperties>
</file>

<file path=docProps/custom.xml><?xml version="1.0" encoding="utf-8"?>
<Properties xmlns="http://schemas.openxmlformats.org/officeDocument/2006/custom-properties" xmlns:vt="http://schemas.openxmlformats.org/officeDocument/2006/docPropsVTypes"/>
</file>