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66483" w14:textId="77777777" w:rsidR="008776E8" w:rsidRPr="002147FA" w:rsidRDefault="008776E8" w:rsidP="003065F5">
      <w:pPr>
        <w:jc w:val="both"/>
        <w:rPr>
          <w:rFonts w:ascii="Arial" w:hAnsi="Arial" w:cs="Arial"/>
          <w:b/>
          <w:bCs/>
          <w:sz w:val="36"/>
          <w:szCs w:val="36"/>
          <w:u w:val="single"/>
        </w:rPr>
      </w:pPr>
      <w:r w:rsidRPr="002147FA">
        <w:rPr>
          <w:rFonts w:ascii="Arial" w:hAnsi="Arial" w:cs="Arial"/>
          <w:b/>
          <w:bCs/>
          <w:sz w:val="36"/>
          <w:szCs w:val="36"/>
          <w:u w:val="single"/>
        </w:rPr>
        <w:t>Business Case – Calculating Discounted Cash flow Modelling</w:t>
      </w:r>
    </w:p>
    <w:p w14:paraId="5D9AA95D" w14:textId="77777777" w:rsidR="008776E8" w:rsidRPr="008776E8" w:rsidRDefault="008776E8" w:rsidP="003065F5">
      <w:pPr>
        <w:jc w:val="both"/>
        <w:rPr>
          <w:rFonts w:ascii="Arial" w:hAnsi="Arial" w:cs="Arial"/>
        </w:rPr>
      </w:pPr>
    </w:p>
    <w:p w14:paraId="11604255" w14:textId="77777777" w:rsidR="008776E8" w:rsidRPr="008776E8" w:rsidRDefault="008776E8" w:rsidP="003065F5">
      <w:pPr>
        <w:jc w:val="both"/>
        <w:rPr>
          <w:rFonts w:ascii="Arial" w:hAnsi="Arial" w:cs="Arial"/>
        </w:rPr>
      </w:pPr>
    </w:p>
    <w:p w14:paraId="34DD7FC9" w14:textId="77777777" w:rsidR="008776E8" w:rsidRPr="008776E8" w:rsidRDefault="008776E8" w:rsidP="003065F5">
      <w:pPr>
        <w:jc w:val="both"/>
        <w:rPr>
          <w:rFonts w:ascii="Arial" w:hAnsi="Arial" w:cs="Arial"/>
          <w:b/>
          <w:bCs/>
        </w:rPr>
      </w:pPr>
      <w:r w:rsidRPr="008776E8">
        <w:rPr>
          <w:rFonts w:ascii="Arial" w:hAnsi="Arial" w:cs="Arial"/>
          <w:b/>
          <w:bCs/>
        </w:rPr>
        <w:t>Discounted Cash Flow (DCF)</w:t>
      </w:r>
    </w:p>
    <w:p w14:paraId="307C11BF" w14:textId="77777777" w:rsidR="008776E8" w:rsidRPr="008776E8" w:rsidRDefault="008776E8" w:rsidP="003065F5">
      <w:pPr>
        <w:jc w:val="both"/>
        <w:rPr>
          <w:rFonts w:ascii="Arial" w:hAnsi="Arial" w:cs="Arial"/>
        </w:rPr>
      </w:pPr>
      <w:r w:rsidRPr="008776E8">
        <w:rPr>
          <w:rFonts w:ascii="Arial" w:hAnsi="Arial" w:cs="Arial"/>
        </w:rPr>
        <w:t xml:space="preserve">Discounted cash flow (DCF) valuation is a type of financial model that determines whether an investment is worthwhile based on future cash flows. A DCF model is </w:t>
      </w:r>
      <w:proofErr w:type="spellStart"/>
      <w:r w:rsidRPr="008776E8">
        <w:rPr>
          <w:rFonts w:ascii="Arial" w:hAnsi="Arial" w:cs="Arial"/>
        </w:rPr>
        <w:t>centered</w:t>
      </w:r>
      <w:proofErr w:type="spellEnd"/>
      <w:r w:rsidRPr="008776E8">
        <w:rPr>
          <w:rFonts w:ascii="Arial" w:hAnsi="Arial" w:cs="Arial"/>
        </w:rPr>
        <w:t xml:space="preserve"> </w:t>
      </w:r>
      <w:proofErr w:type="gramStart"/>
      <w:r w:rsidRPr="008776E8">
        <w:rPr>
          <w:rFonts w:ascii="Arial" w:hAnsi="Arial" w:cs="Arial"/>
        </w:rPr>
        <w:t>around  the</w:t>
      </w:r>
      <w:proofErr w:type="gramEnd"/>
      <w:r w:rsidRPr="008776E8">
        <w:rPr>
          <w:rFonts w:ascii="Arial" w:hAnsi="Arial" w:cs="Arial"/>
        </w:rPr>
        <w:t xml:space="preserve"> idea that a company’s value is determined by how well it can generate cash flows for its investors in the future.</w:t>
      </w:r>
    </w:p>
    <w:p w14:paraId="22C18A0E" w14:textId="77777777" w:rsidR="008776E8" w:rsidRPr="008776E8" w:rsidRDefault="008776E8" w:rsidP="003065F5">
      <w:pPr>
        <w:jc w:val="both"/>
        <w:rPr>
          <w:rFonts w:ascii="Arial" w:hAnsi="Arial" w:cs="Arial"/>
          <w:b/>
          <w:bCs/>
        </w:rPr>
      </w:pPr>
      <w:r w:rsidRPr="008776E8">
        <w:rPr>
          <w:rFonts w:ascii="Arial" w:hAnsi="Arial" w:cs="Arial"/>
          <w:b/>
          <w:bCs/>
        </w:rPr>
        <w:t>How Do You Calculate DCF?</w:t>
      </w:r>
    </w:p>
    <w:p w14:paraId="75DA015E" w14:textId="77777777" w:rsidR="008776E8" w:rsidRPr="008776E8" w:rsidRDefault="008776E8" w:rsidP="003065F5">
      <w:pPr>
        <w:jc w:val="both"/>
        <w:rPr>
          <w:rFonts w:ascii="Arial" w:hAnsi="Arial" w:cs="Arial"/>
        </w:rPr>
      </w:pPr>
      <w:r w:rsidRPr="008776E8">
        <w:rPr>
          <w:rFonts w:ascii="Arial" w:hAnsi="Arial" w:cs="Arial"/>
        </w:rPr>
        <w:t>Calculating the DCF involves three basic steps. One, forecast the expected cash flows from the investment. Two, select a discount rate, typically based on the cost of financing the investment or the opportunity cost presented by alternative investments. Three, discount the forecasted cash flows back to the present day, using a financial calculator, a spreadsheet, or a manual calculation.</w:t>
      </w:r>
    </w:p>
    <w:p w14:paraId="47735B86" w14:textId="3CB31FA1" w:rsidR="008776E8" w:rsidRPr="008776E8" w:rsidRDefault="008776E8" w:rsidP="003065F5">
      <w:pPr>
        <w:jc w:val="both"/>
        <w:rPr>
          <w:rFonts w:ascii="Arial" w:hAnsi="Arial" w:cs="Arial"/>
        </w:rPr>
      </w:pPr>
      <w:r>
        <w:rPr>
          <w:noProof/>
        </w:rPr>
        <w:drawing>
          <wp:inline distT="0" distB="0" distL="0" distR="0" wp14:anchorId="3ED12533" wp14:editId="7E2C2339">
            <wp:extent cx="5731510" cy="2122170"/>
            <wp:effectExtent l="0" t="0" r="2540" b="0"/>
            <wp:docPr id="40788004" name="Picture 1" descr="Discounted Cash Flow Analysis—Your Complete Guide wi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counted Cash Flow Analysis—Your Complete Guide with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122170"/>
                    </a:xfrm>
                    <a:prstGeom prst="rect">
                      <a:avLst/>
                    </a:prstGeom>
                    <a:noFill/>
                    <a:ln>
                      <a:noFill/>
                    </a:ln>
                  </pic:spPr>
                </pic:pic>
              </a:graphicData>
            </a:graphic>
          </wp:inline>
        </w:drawing>
      </w:r>
    </w:p>
    <w:p w14:paraId="0254E72F" w14:textId="0ED9ADCA" w:rsidR="008776E8" w:rsidRPr="008776E8" w:rsidRDefault="008776E8" w:rsidP="003065F5">
      <w:pPr>
        <w:jc w:val="both"/>
        <w:rPr>
          <w:rFonts w:ascii="Arial" w:hAnsi="Arial" w:cs="Arial"/>
        </w:rPr>
      </w:pPr>
      <w:r w:rsidRPr="008776E8">
        <w:rPr>
          <w:rFonts w:ascii="Arial" w:hAnsi="Arial" w:cs="Arial"/>
        </w:rPr>
        <w:t xml:space="preserve"> </w:t>
      </w:r>
    </w:p>
    <w:p w14:paraId="0E3595C6" w14:textId="77777777" w:rsidR="008776E8" w:rsidRPr="002147FA" w:rsidRDefault="008776E8" w:rsidP="003065F5">
      <w:pPr>
        <w:jc w:val="both"/>
        <w:rPr>
          <w:rFonts w:ascii="Arial" w:hAnsi="Arial" w:cs="Arial"/>
          <w:b/>
          <w:bCs/>
        </w:rPr>
      </w:pPr>
      <w:r w:rsidRPr="002147FA">
        <w:rPr>
          <w:rFonts w:ascii="Arial" w:hAnsi="Arial" w:cs="Arial"/>
          <w:b/>
          <w:bCs/>
        </w:rPr>
        <w:t>Weighted average cost of capital</w:t>
      </w:r>
    </w:p>
    <w:p w14:paraId="38BF7A0A" w14:textId="77777777" w:rsidR="008776E8" w:rsidRPr="008776E8" w:rsidRDefault="008776E8" w:rsidP="003065F5">
      <w:pPr>
        <w:jc w:val="both"/>
        <w:rPr>
          <w:rFonts w:ascii="Arial" w:hAnsi="Arial" w:cs="Arial"/>
        </w:rPr>
      </w:pPr>
      <w:r w:rsidRPr="008776E8">
        <w:rPr>
          <w:rFonts w:ascii="Arial" w:hAnsi="Arial" w:cs="Arial"/>
        </w:rPr>
        <w:t>Weighted average cost of capital (WACC) is a company's average after-tax cost of capital from all sources, including common stock, preferred stock, bonds, and other forms of debt. It represents the average rate that a company expects to pay to finance its business.</w:t>
      </w:r>
    </w:p>
    <w:p w14:paraId="24B9A973" w14:textId="2896409E" w:rsidR="008776E8" w:rsidRPr="008776E8" w:rsidRDefault="008776E8" w:rsidP="003065F5">
      <w:pPr>
        <w:jc w:val="both"/>
        <w:rPr>
          <w:rFonts w:ascii="Arial" w:hAnsi="Arial" w:cs="Arial"/>
          <w:b/>
          <w:bCs/>
        </w:rPr>
      </w:pPr>
      <w:r w:rsidRPr="008776E8">
        <w:rPr>
          <w:rFonts w:ascii="Arial" w:hAnsi="Arial" w:cs="Arial"/>
          <w:b/>
          <w:bCs/>
        </w:rPr>
        <w:t>Terminal Value (TV)</w:t>
      </w:r>
    </w:p>
    <w:p w14:paraId="01A67620" w14:textId="77777777" w:rsidR="008776E8" w:rsidRPr="008776E8" w:rsidRDefault="008776E8" w:rsidP="003065F5">
      <w:pPr>
        <w:jc w:val="both"/>
        <w:rPr>
          <w:rFonts w:ascii="Arial" w:hAnsi="Arial" w:cs="Arial"/>
        </w:rPr>
      </w:pPr>
      <w:r w:rsidRPr="008776E8">
        <w:rPr>
          <w:rFonts w:ascii="Arial" w:hAnsi="Arial" w:cs="Arial"/>
        </w:rPr>
        <w:t>Terminal value (TV) is the value of an asset, business, or project beyond the forecasted period when future cash flows can be estimated. Terminal value assumes a business will grow at a set growth rate forever after the forecast period. Terminal value often comprises a large percentage of the total assessed value.</w:t>
      </w:r>
    </w:p>
    <w:p w14:paraId="6A0E58D4" w14:textId="2739C764" w:rsidR="008776E8" w:rsidRPr="002147FA" w:rsidRDefault="008776E8" w:rsidP="003065F5">
      <w:pPr>
        <w:jc w:val="both"/>
        <w:rPr>
          <w:rFonts w:ascii="Arial" w:hAnsi="Arial" w:cs="Arial"/>
          <w:b/>
          <w:bCs/>
        </w:rPr>
      </w:pPr>
      <w:r w:rsidRPr="002147FA">
        <w:rPr>
          <w:rFonts w:ascii="Arial" w:hAnsi="Arial" w:cs="Arial"/>
          <w:b/>
          <w:bCs/>
        </w:rPr>
        <w:t>Present Value of Terminal Value</w:t>
      </w:r>
    </w:p>
    <w:p w14:paraId="4372A77D" w14:textId="77777777" w:rsidR="008776E8" w:rsidRDefault="008776E8" w:rsidP="003065F5">
      <w:pPr>
        <w:jc w:val="both"/>
        <w:rPr>
          <w:rFonts w:ascii="Arial" w:hAnsi="Arial" w:cs="Arial"/>
        </w:rPr>
      </w:pPr>
      <w:r w:rsidRPr="008776E8">
        <w:rPr>
          <w:rFonts w:ascii="Arial" w:hAnsi="Arial" w:cs="Arial"/>
        </w:rPr>
        <w:t>To determine the present value of the terminal value, one must discount its value at T0 by a factor equal to the number of years included in the initial projection period. If N is the 5th and final year in this period, then the Terminal Value is divided by (1 + k)5 (or WACC).</w:t>
      </w:r>
    </w:p>
    <w:p w14:paraId="7956EFAB" w14:textId="77777777" w:rsidR="003065F5" w:rsidRPr="003065F5" w:rsidRDefault="003065F5" w:rsidP="003065F5">
      <w:pPr>
        <w:jc w:val="both"/>
        <w:rPr>
          <w:rFonts w:ascii="Arial" w:hAnsi="Arial" w:cs="Arial"/>
          <w:b/>
          <w:bCs/>
        </w:rPr>
      </w:pPr>
      <w:r w:rsidRPr="003065F5">
        <w:rPr>
          <w:rFonts w:ascii="Arial" w:hAnsi="Arial" w:cs="Arial"/>
          <w:b/>
          <w:bCs/>
        </w:rPr>
        <w:lastRenderedPageBreak/>
        <w:t>Property, plant, and equipment</w:t>
      </w:r>
    </w:p>
    <w:p w14:paraId="17356C0F" w14:textId="77777777" w:rsidR="003065F5" w:rsidRDefault="003065F5" w:rsidP="003065F5">
      <w:pPr>
        <w:jc w:val="both"/>
        <w:rPr>
          <w:rFonts w:ascii="Arial" w:hAnsi="Arial" w:cs="Arial"/>
          <w:lang w:val="en"/>
        </w:rPr>
      </w:pPr>
      <w:r w:rsidRPr="003065F5">
        <w:rPr>
          <w:rFonts w:ascii="Arial" w:hAnsi="Arial" w:cs="Arial"/>
          <w:lang w:val="en"/>
        </w:rPr>
        <w:t>Property, plant, and equipment (PP&amp;E) are long-term tangible assets vital to business operations. These assets are not easily converted into cash.</w:t>
      </w:r>
    </w:p>
    <w:p w14:paraId="606612A9" w14:textId="53D72816" w:rsidR="003065F5" w:rsidRPr="003065F5" w:rsidRDefault="003065F5" w:rsidP="003065F5">
      <w:pPr>
        <w:jc w:val="both"/>
        <w:rPr>
          <w:rFonts w:ascii="Arial" w:hAnsi="Arial" w:cs="Arial"/>
          <w:b/>
          <w:bCs/>
          <w:lang w:val="en"/>
        </w:rPr>
      </w:pPr>
      <w:r w:rsidRPr="003065F5">
        <w:rPr>
          <w:rFonts w:ascii="Arial" w:hAnsi="Arial" w:cs="Arial"/>
          <w:b/>
          <w:bCs/>
          <w:lang w:val="en"/>
        </w:rPr>
        <w:t>D &amp; A</w:t>
      </w:r>
    </w:p>
    <w:p w14:paraId="3F03344A" w14:textId="5EEF9FD5" w:rsidR="003065F5" w:rsidRPr="003065F5" w:rsidRDefault="003065F5" w:rsidP="003065F5">
      <w:pPr>
        <w:jc w:val="both"/>
        <w:rPr>
          <w:rFonts w:ascii="Arial" w:hAnsi="Arial" w:cs="Arial"/>
        </w:rPr>
      </w:pPr>
      <w:r w:rsidRPr="003065F5">
        <w:rPr>
          <w:rFonts w:ascii="Arial" w:hAnsi="Arial" w:cs="Arial"/>
        </w:rPr>
        <w:t>D&amp;A, which is short for Depreciation and Amortization, refers to the decrease in the value of assets as they are used over time or approach the end of their useful life. Think of a car – the more you use it, the less money you will be able to get from selling it afterwards.</w:t>
      </w:r>
    </w:p>
    <w:p w14:paraId="4C565BF3" w14:textId="29D39974" w:rsidR="003065F5" w:rsidRPr="003065F5" w:rsidRDefault="003065F5" w:rsidP="003065F5">
      <w:pPr>
        <w:jc w:val="both"/>
        <w:rPr>
          <w:rFonts w:ascii="Arial" w:hAnsi="Arial" w:cs="Arial"/>
          <w:b/>
          <w:bCs/>
        </w:rPr>
      </w:pPr>
      <w:r w:rsidRPr="003065F5">
        <w:rPr>
          <w:rFonts w:ascii="Arial" w:hAnsi="Arial" w:cs="Arial"/>
          <w:b/>
          <w:bCs/>
        </w:rPr>
        <w:t>Capital Expenditures (</w:t>
      </w:r>
      <w:proofErr w:type="spellStart"/>
      <w:r w:rsidRPr="003065F5">
        <w:rPr>
          <w:rFonts w:ascii="Arial" w:hAnsi="Arial" w:cs="Arial"/>
          <w:b/>
          <w:bCs/>
        </w:rPr>
        <w:t>CapEx</w:t>
      </w:r>
      <w:proofErr w:type="spellEnd"/>
      <w:r w:rsidRPr="003065F5">
        <w:rPr>
          <w:rFonts w:ascii="Arial" w:hAnsi="Arial" w:cs="Arial"/>
          <w:b/>
          <w:bCs/>
        </w:rPr>
        <w:t>)</w:t>
      </w:r>
    </w:p>
    <w:p w14:paraId="28125CB5" w14:textId="70154937" w:rsidR="003065F5" w:rsidRPr="003065F5" w:rsidRDefault="003065F5" w:rsidP="003065F5">
      <w:pPr>
        <w:jc w:val="both"/>
        <w:rPr>
          <w:rFonts w:ascii="Arial" w:hAnsi="Arial" w:cs="Arial"/>
        </w:rPr>
      </w:pPr>
      <w:r w:rsidRPr="003065F5">
        <w:rPr>
          <w:rFonts w:ascii="Arial" w:hAnsi="Arial" w:cs="Arial"/>
        </w:rPr>
        <w:t>Capital expenditures (</w:t>
      </w:r>
      <w:proofErr w:type="spellStart"/>
      <w:r w:rsidRPr="003065F5">
        <w:rPr>
          <w:rFonts w:ascii="Arial" w:hAnsi="Arial" w:cs="Arial"/>
        </w:rPr>
        <w:t>CapEx</w:t>
      </w:r>
      <w:proofErr w:type="spellEnd"/>
      <w:r w:rsidRPr="003065F5">
        <w:rPr>
          <w:rFonts w:ascii="Arial" w:hAnsi="Arial" w:cs="Arial"/>
        </w:rPr>
        <w:t xml:space="preserve">) are funds used by a company to acquire, upgrade, and maintain physical assets such as property, plants, buildings, technology, or equipment. </w:t>
      </w:r>
      <w:proofErr w:type="spellStart"/>
      <w:r w:rsidRPr="003065F5">
        <w:rPr>
          <w:rFonts w:ascii="Arial" w:hAnsi="Arial" w:cs="Arial"/>
        </w:rPr>
        <w:t>CapEx</w:t>
      </w:r>
      <w:proofErr w:type="spellEnd"/>
      <w:r w:rsidRPr="003065F5">
        <w:rPr>
          <w:rFonts w:ascii="Arial" w:hAnsi="Arial" w:cs="Arial"/>
        </w:rPr>
        <w:t xml:space="preserve"> is often used to undertake new projects or investments by a company. Making capital expenditures on fixed assets can include repairing a roof if the useful life of the roof is extended, purchasing a piece of equipment, or building a new factory.</w:t>
      </w:r>
    </w:p>
    <w:p w14:paraId="20904FFD" w14:textId="77777777" w:rsidR="008776E8" w:rsidRPr="008776E8" w:rsidRDefault="008776E8" w:rsidP="003065F5">
      <w:pPr>
        <w:jc w:val="both"/>
        <w:rPr>
          <w:rFonts w:ascii="Arial" w:hAnsi="Arial" w:cs="Arial"/>
        </w:rPr>
      </w:pPr>
    </w:p>
    <w:p w14:paraId="5B594DC3" w14:textId="77777777" w:rsidR="008776E8" w:rsidRPr="00290947" w:rsidRDefault="008776E8" w:rsidP="003065F5">
      <w:pPr>
        <w:jc w:val="both"/>
        <w:rPr>
          <w:rFonts w:ascii="Arial" w:hAnsi="Arial" w:cs="Arial"/>
          <w:b/>
          <w:bCs/>
        </w:rPr>
      </w:pPr>
      <w:r w:rsidRPr="00290947">
        <w:rPr>
          <w:rFonts w:ascii="Arial" w:hAnsi="Arial" w:cs="Arial"/>
          <w:b/>
          <w:bCs/>
        </w:rPr>
        <w:t>Q1. What factors can affect the composition of a company's current assets vs. long-term assets?</w:t>
      </w:r>
    </w:p>
    <w:p w14:paraId="548A476E" w14:textId="77777777" w:rsidR="008776E8" w:rsidRPr="008776E8" w:rsidRDefault="008776E8" w:rsidP="003065F5">
      <w:pPr>
        <w:jc w:val="both"/>
        <w:rPr>
          <w:rFonts w:ascii="Arial" w:hAnsi="Arial" w:cs="Arial"/>
        </w:rPr>
      </w:pPr>
      <w:r w:rsidRPr="008776E8">
        <w:rPr>
          <w:rFonts w:ascii="Arial" w:hAnsi="Arial" w:cs="Arial"/>
        </w:rPr>
        <w:t>The composition of a company's current assets versus long-term assets can be influenced by several factors, including:</w:t>
      </w:r>
    </w:p>
    <w:p w14:paraId="57E32E70" w14:textId="77777777" w:rsidR="008776E8" w:rsidRPr="008776E8" w:rsidRDefault="008776E8" w:rsidP="003065F5">
      <w:pPr>
        <w:jc w:val="both"/>
        <w:rPr>
          <w:rFonts w:ascii="Arial" w:hAnsi="Arial" w:cs="Arial"/>
          <w:b/>
          <w:bCs/>
        </w:rPr>
      </w:pPr>
      <w:r w:rsidRPr="008776E8">
        <w:rPr>
          <w:rFonts w:ascii="Arial" w:hAnsi="Arial" w:cs="Arial"/>
          <w:b/>
          <w:bCs/>
        </w:rPr>
        <w:t>1. Industry Type</w:t>
      </w:r>
    </w:p>
    <w:p w14:paraId="4179529C" w14:textId="77777777" w:rsidR="008776E8" w:rsidRPr="008776E8" w:rsidRDefault="008776E8" w:rsidP="003065F5">
      <w:pPr>
        <w:jc w:val="both"/>
        <w:rPr>
          <w:rFonts w:ascii="Arial" w:hAnsi="Arial" w:cs="Arial"/>
        </w:rPr>
      </w:pPr>
      <w:r w:rsidRPr="008776E8">
        <w:rPr>
          <w:rFonts w:ascii="Arial" w:hAnsi="Arial" w:cs="Arial"/>
        </w:rPr>
        <w:t>•</w:t>
      </w:r>
      <w:r w:rsidRPr="008776E8">
        <w:rPr>
          <w:rFonts w:ascii="Arial" w:hAnsi="Arial" w:cs="Arial"/>
        </w:rPr>
        <w:tab/>
      </w:r>
      <w:r w:rsidRPr="008776E8">
        <w:rPr>
          <w:rFonts w:ascii="Arial" w:hAnsi="Arial" w:cs="Arial"/>
          <w:b/>
          <w:bCs/>
        </w:rPr>
        <w:t>Asset-Intensive Industries:</w:t>
      </w:r>
      <w:r w:rsidRPr="008776E8">
        <w:rPr>
          <w:rFonts w:ascii="Arial" w:hAnsi="Arial" w:cs="Arial"/>
        </w:rPr>
        <w:t xml:space="preserve"> Companies in industries like manufacturing, utilities, or real estate typically have higher proportions of long-term assets due to significant investments in property, plant, equipment (PPE), and other capital-intensive resources.</w:t>
      </w:r>
    </w:p>
    <w:p w14:paraId="6662EEEE" w14:textId="77777777" w:rsidR="008776E8" w:rsidRPr="008776E8" w:rsidRDefault="008776E8" w:rsidP="003065F5">
      <w:pPr>
        <w:jc w:val="both"/>
        <w:rPr>
          <w:rFonts w:ascii="Arial" w:hAnsi="Arial" w:cs="Arial"/>
        </w:rPr>
      </w:pPr>
      <w:r w:rsidRPr="008776E8">
        <w:rPr>
          <w:rFonts w:ascii="Arial" w:hAnsi="Arial" w:cs="Arial"/>
        </w:rPr>
        <w:t>•</w:t>
      </w:r>
      <w:r w:rsidRPr="008776E8">
        <w:rPr>
          <w:rFonts w:ascii="Arial" w:hAnsi="Arial" w:cs="Arial"/>
        </w:rPr>
        <w:tab/>
      </w:r>
      <w:r w:rsidRPr="008776E8">
        <w:rPr>
          <w:rFonts w:ascii="Arial" w:hAnsi="Arial" w:cs="Arial"/>
          <w:b/>
          <w:bCs/>
        </w:rPr>
        <w:t>Service Industries:</w:t>
      </w:r>
      <w:r w:rsidRPr="008776E8">
        <w:rPr>
          <w:rFonts w:ascii="Arial" w:hAnsi="Arial" w:cs="Arial"/>
        </w:rPr>
        <w:t xml:space="preserve"> Companies in sectors like software, consulting, or financial services may have a larger proportion of current assets, such as cash, accounts receivable, and short-term investments, due to lower capital investment needs.</w:t>
      </w:r>
    </w:p>
    <w:p w14:paraId="7C750C81" w14:textId="77777777" w:rsidR="008776E8" w:rsidRPr="008776E8" w:rsidRDefault="008776E8" w:rsidP="003065F5">
      <w:pPr>
        <w:jc w:val="both"/>
        <w:rPr>
          <w:rFonts w:ascii="Arial" w:hAnsi="Arial" w:cs="Arial"/>
          <w:b/>
          <w:bCs/>
        </w:rPr>
      </w:pPr>
      <w:r w:rsidRPr="008776E8">
        <w:rPr>
          <w:rFonts w:ascii="Arial" w:hAnsi="Arial" w:cs="Arial"/>
          <w:b/>
          <w:bCs/>
        </w:rPr>
        <w:t>2. Business Model</w:t>
      </w:r>
    </w:p>
    <w:p w14:paraId="316DAE38" w14:textId="77777777" w:rsidR="008776E8" w:rsidRPr="008776E8" w:rsidRDefault="008776E8" w:rsidP="003065F5">
      <w:pPr>
        <w:jc w:val="both"/>
        <w:rPr>
          <w:rFonts w:ascii="Arial" w:hAnsi="Arial" w:cs="Arial"/>
        </w:rPr>
      </w:pPr>
      <w:r w:rsidRPr="008776E8">
        <w:rPr>
          <w:rFonts w:ascii="Arial" w:hAnsi="Arial" w:cs="Arial"/>
          <w:b/>
          <w:bCs/>
        </w:rPr>
        <w:t>•</w:t>
      </w:r>
      <w:r w:rsidRPr="008776E8">
        <w:rPr>
          <w:rFonts w:ascii="Arial" w:hAnsi="Arial" w:cs="Arial"/>
          <w:b/>
          <w:bCs/>
        </w:rPr>
        <w:tab/>
        <w:t>Capital Structure:</w:t>
      </w:r>
      <w:r w:rsidRPr="008776E8">
        <w:rPr>
          <w:rFonts w:ascii="Arial" w:hAnsi="Arial" w:cs="Arial"/>
        </w:rPr>
        <w:t xml:space="preserve"> Companies that rely heavily on physical assets for revenue generation (e.g., oil and gas, heavy machinery) will have a higher ratio of long-term assets.</w:t>
      </w:r>
    </w:p>
    <w:p w14:paraId="57C16FD6" w14:textId="77777777" w:rsidR="008776E8" w:rsidRPr="008776E8" w:rsidRDefault="008776E8" w:rsidP="003065F5">
      <w:pPr>
        <w:jc w:val="both"/>
        <w:rPr>
          <w:rFonts w:ascii="Arial" w:hAnsi="Arial" w:cs="Arial"/>
        </w:rPr>
      </w:pPr>
      <w:r w:rsidRPr="008776E8">
        <w:rPr>
          <w:rFonts w:ascii="Arial" w:hAnsi="Arial" w:cs="Arial"/>
        </w:rPr>
        <w:t>•</w:t>
      </w:r>
      <w:r w:rsidRPr="008776E8">
        <w:rPr>
          <w:rFonts w:ascii="Arial" w:hAnsi="Arial" w:cs="Arial"/>
        </w:rPr>
        <w:tab/>
      </w:r>
      <w:r w:rsidRPr="002147FA">
        <w:rPr>
          <w:rFonts w:ascii="Arial" w:hAnsi="Arial" w:cs="Arial"/>
          <w:b/>
          <w:bCs/>
        </w:rPr>
        <w:t>Working Capital Needs:</w:t>
      </w:r>
      <w:r w:rsidRPr="008776E8">
        <w:rPr>
          <w:rFonts w:ascii="Arial" w:hAnsi="Arial" w:cs="Arial"/>
        </w:rPr>
        <w:t xml:space="preserve"> Retail or consumer goods companies may have significant current assets like inventory and receivables to support daily operations, resulting in a higher ratio of current assets.</w:t>
      </w:r>
    </w:p>
    <w:p w14:paraId="32EC4840" w14:textId="77777777" w:rsidR="008776E8" w:rsidRPr="00290947" w:rsidRDefault="008776E8" w:rsidP="003065F5">
      <w:pPr>
        <w:jc w:val="both"/>
        <w:rPr>
          <w:rFonts w:ascii="Arial" w:hAnsi="Arial" w:cs="Arial"/>
          <w:b/>
          <w:bCs/>
        </w:rPr>
      </w:pPr>
      <w:r w:rsidRPr="00290947">
        <w:rPr>
          <w:rFonts w:ascii="Arial" w:hAnsi="Arial" w:cs="Arial"/>
          <w:b/>
          <w:bCs/>
        </w:rPr>
        <w:t>3. Growth Stage</w:t>
      </w:r>
    </w:p>
    <w:p w14:paraId="2D9C7B1F" w14:textId="77777777" w:rsidR="008776E8" w:rsidRPr="008776E8" w:rsidRDefault="008776E8" w:rsidP="003065F5">
      <w:pPr>
        <w:jc w:val="both"/>
        <w:rPr>
          <w:rFonts w:ascii="Arial" w:hAnsi="Arial" w:cs="Arial"/>
        </w:rPr>
      </w:pPr>
      <w:r w:rsidRPr="008776E8">
        <w:rPr>
          <w:rFonts w:ascii="Arial" w:hAnsi="Arial" w:cs="Arial"/>
        </w:rPr>
        <w:t>•</w:t>
      </w:r>
      <w:r w:rsidRPr="008776E8">
        <w:rPr>
          <w:rFonts w:ascii="Arial" w:hAnsi="Arial" w:cs="Arial"/>
        </w:rPr>
        <w:tab/>
      </w:r>
      <w:r w:rsidRPr="002147FA">
        <w:rPr>
          <w:rFonts w:ascii="Arial" w:hAnsi="Arial" w:cs="Arial"/>
          <w:b/>
          <w:bCs/>
        </w:rPr>
        <w:t xml:space="preserve">Early-Stage Companies: </w:t>
      </w:r>
      <w:r w:rsidRPr="008776E8">
        <w:rPr>
          <w:rFonts w:ascii="Arial" w:hAnsi="Arial" w:cs="Arial"/>
        </w:rPr>
        <w:t>Startups and growing companies may have a higher proportion of current assets as they focus on liquidity and short-term growth.</w:t>
      </w:r>
    </w:p>
    <w:p w14:paraId="672C0CC1" w14:textId="77777777" w:rsidR="008776E8" w:rsidRPr="008776E8" w:rsidRDefault="008776E8" w:rsidP="003065F5">
      <w:pPr>
        <w:jc w:val="both"/>
        <w:rPr>
          <w:rFonts w:ascii="Arial" w:hAnsi="Arial" w:cs="Arial"/>
        </w:rPr>
      </w:pPr>
      <w:r w:rsidRPr="008776E8">
        <w:rPr>
          <w:rFonts w:ascii="Arial" w:hAnsi="Arial" w:cs="Arial"/>
        </w:rPr>
        <w:t>•</w:t>
      </w:r>
      <w:r w:rsidRPr="008776E8">
        <w:rPr>
          <w:rFonts w:ascii="Arial" w:hAnsi="Arial" w:cs="Arial"/>
        </w:rPr>
        <w:tab/>
      </w:r>
      <w:r w:rsidRPr="002147FA">
        <w:rPr>
          <w:rFonts w:ascii="Arial" w:hAnsi="Arial" w:cs="Arial"/>
          <w:b/>
          <w:bCs/>
        </w:rPr>
        <w:t>Mature Companies:</w:t>
      </w:r>
      <w:r w:rsidRPr="008776E8">
        <w:rPr>
          <w:rFonts w:ascii="Arial" w:hAnsi="Arial" w:cs="Arial"/>
        </w:rPr>
        <w:t xml:space="preserve"> Established companies might have accumulated significant long-term assets over time, such as real estate or investments in infrastructure.</w:t>
      </w:r>
    </w:p>
    <w:p w14:paraId="1FF246AB" w14:textId="77777777" w:rsidR="008776E8" w:rsidRPr="008776E8" w:rsidRDefault="008776E8" w:rsidP="003065F5">
      <w:pPr>
        <w:jc w:val="both"/>
        <w:rPr>
          <w:rFonts w:ascii="Arial" w:hAnsi="Arial" w:cs="Arial"/>
          <w:b/>
          <w:bCs/>
        </w:rPr>
      </w:pPr>
      <w:r w:rsidRPr="008776E8">
        <w:rPr>
          <w:rFonts w:ascii="Arial" w:hAnsi="Arial" w:cs="Arial"/>
          <w:b/>
          <w:bCs/>
        </w:rPr>
        <w:t>4. Investment Strategy</w:t>
      </w:r>
    </w:p>
    <w:p w14:paraId="2C8DDFF2" w14:textId="77777777" w:rsidR="008776E8" w:rsidRPr="008776E8" w:rsidRDefault="008776E8" w:rsidP="003065F5">
      <w:pPr>
        <w:jc w:val="both"/>
        <w:rPr>
          <w:rFonts w:ascii="Arial" w:hAnsi="Arial" w:cs="Arial"/>
        </w:rPr>
      </w:pPr>
      <w:r w:rsidRPr="008776E8">
        <w:rPr>
          <w:rFonts w:ascii="Arial" w:hAnsi="Arial" w:cs="Arial"/>
        </w:rPr>
        <w:t>•</w:t>
      </w:r>
      <w:r w:rsidRPr="008776E8">
        <w:rPr>
          <w:rFonts w:ascii="Arial" w:hAnsi="Arial" w:cs="Arial"/>
        </w:rPr>
        <w:tab/>
      </w:r>
      <w:r w:rsidRPr="002147FA">
        <w:rPr>
          <w:rFonts w:ascii="Arial" w:hAnsi="Arial" w:cs="Arial"/>
          <w:b/>
          <w:bCs/>
        </w:rPr>
        <w:t>Expansion and Capital Expenditure:</w:t>
      </w:r>
      <w:r w:rsidRPr="008776E8">
        <w:rPr>
          <w:rFonts w:ascii="Arial" w:hAnsi="Arial" w:cs="Arial"/>
        </w:rPr>
        <w:t xml:space="preserve"> Companies that are expanding or investing in new projects will typically have higher long-term assets due to increased capital expenditures.</w:t>
      </w:r>
    </w:p>
    <w:p w14:paraId="59D507E0" w14:textId="77777777" w:rsidR="008776E8" w:rsidRPr="008776E8" w:rsidRDefault="008776E8" w:rsidP="003065F5">
      <w:pPr>
        <w:jc w:val="both"/>
        <w:rPr>
          <w:rFonts w:ascii="Arial" w:hAnsi="Arial" w:cs="Arial"/>
        </w:rPr>
      </w:pPr>
      <w:r w:rsidRPr="008776E8">
        <w:rPr>
          <w:rFonts w:ascii="Arial" w:hAnsi="Arial" w:cs="Arial"/>
        </w:rPr>
        <w:lastRenderedPageBreak/>
        <w:t>•</w:t>
      </w:r>
      <w:r w:rsidRPr="008776E8">
        <w:rPr>
          <w:rFonts w:ascii="Arial" w:hAnsi="Arial" w:cs="Arial"/>
        </w:rPr>
        <w:tab/>
      </w:r>
      <w:r w:rsidRPr="002147FA">
        <w:rPr>
          <w:rFonts w:ascii="Arial" w:hAnsi="Arial" w:cs="Arial"/>
          <w:b/>
          <w:bCs/>
        </w:rPr>
        <w:t>Asset Sales:</w:t>
      </w:r>
      <w:r w:rsidRPr="008776E8">
        <w:rPr>
          <w:rFonts w:ascii="Arial" w:hAnsi="Arial" w:cs="Arial"/>
        </w:rPr>
        <w:t xml:space="preserve"> Companies might sell long-term assets to improve liquidity, which would increase the proportion of current assets.</w:t>
      </w:r>
    </w:p>
    <w:p w14:paraId="5C9C08B8" w14:textId="77777777" w:rsidR="008776E8" w:rsidRPr="00290947" w:rsidRDefault="008776E8" w:rsidP="003065F5">
      <w:pPr>
        <w:jc w:val="both"/>
        <w:rPr>
          <w:rFonts w:ascii="Arial" w:hAnsi="Arial" w:cs="Arial"/>
          <w:b/>
          <w:bCs/>
        </w:rPr>
      </w:pPr>
      <w:r w:rsidRPr="00290947">
        <w:rPr>
          <w:rFonts w:ascii="Arial" w:hAnsi="Arial" w:cs="Arial"/>
          <w:b/>
          <w:bCs/>
        </w:rPr>
        <w:t>5. Market Conditions</w:t>
      </w:r>
    </w:p>
    <w:p w14:paraId="69076DB5" w14:textId="77777777" w:rsidR="008776E8" w:rsidRPr="008776E8" w:rsidRDefault="008776E8" w:rsidP="003065F5">
      <w:pPr>
        <w:jc w:val="both"/>
        <w:rPr>
          <w:rFonts w:ascii="Arial" w:hAnsi="Arial" w:cs="Arial"/>
        </w:rPr>
      </w:pPr>
      <w:r w:rsidRPr="008776E8">
        <w:rPr>
          <w:rFonts w:ascii="Arial" w:hAnsi="Arial" w:cs="Arial"/>
        </w:rPr>
        <w:t>•</w:t>
      </w:r>
      <w:r w:rsidRPr="008776E8">
        <w:rPr>
          <w:rFonts w:ascii="Arial" w:hAnsi="Arial" w:cs="Arial"/>
        </w:rPr>
        <w:tab/>
        <w:t>Economic Cycles: During economic downturns, companies may hold more cash and other liquid assets, increasing current assets relative to long-term assets. Conversely, during periods of growth, companies might invest more in long-term assets.</w:t>
      </w:r>
    </w:p>
    <w:p w14:paraId="5D08A40D" w14:textId="77777777" w:rsidR="008776E8" w:rsidRPr="008776E8" w:rsidRDefault="008776E8" w:rsidP="003065F5">
      <w:pPr>
        <w:jc w:val="both"/>
        <w:rPr>
          <w:rFonts w:ascii="Arial" w:hAnsi="Arial" w:cs="Arial"/>
        </w:rPr>
      </w:pPr>
      <w:r w:rsidRPr="008776E8">
        <w:rPr>
          <w:rFonts w:ascii="Arial" w:hAnsi="Arial" w:cs="Arial"/>
        </w:rPr>
        <w:t>•</w:t>
      </w:r>
      <w:r w:rsidRPr="008776E8">
        <w:rPr>
          <w:rFonts w:ascii="Arial" w:hAnsi="Arial" w:cs="Arial"/>
        </w:rPr>
        <w:tab/>
        <w:t>Interest Rates: Higher interest rates might encourage companies to hold fewer long-term, interest-sensitive assets like real estate, and instead, maintain more current assets.</w:t>
      </w:r>
    </w:p>
    <w:p w14:paraId="2F8A64C2" w14:textId="77777777" w:rsidR="008776E8" w:rsidRPr="00290947" w:rsidRDefault="008776E8" w:rsidP="003065F5">
      <w:pPr>
        <w:jc w:val="both"/>
        <w:rPr>
          <w:rFonts w:ascii="Arial" w:hAnsi="Arial" w:cs="Arial"/>
          <w:b/>
          <w:bCs/>
        </w:rPr>
      </w:pPr>
      <w:r w:rsidRPr="00290947">
        <w:rPr>
          <w:rFonts w:ascii="Arial" w:hAnsi="Arial" w:cs="Arial"/>
          <w:b/>
          <w:bCs/>
        </w:rPr>
        <w:t>6. Management Decisions</w:t>
      </w:r>
    </w:p>
    <w:p w14:paraId="6B483EBD" w14:textId="77777777" w:rsidR="008776E8" w:rsidRPr="008776E8" w:rsidRDefault="008776E8" w:rsidP="003065F5">
      <w:pPr>
        <w:jc w:val="both"/>
        <w:rPr>
          <w:rFonts w:ascii="Arial" w:hAnsi="Arial" w:cs="Arial"/>
        </w:rPr>
      </w:pPr>
      <w:r w:rsidRPr="008776E8">
        <w:rPr>
          <w:rFonts w:ascii="Arial" w:hAnsi="Arial" w:cs="Arial"/>
        </w:rPr>
        <w:t>•</w:t>
      </w:r>
      <w:r w:rsidRPr="008776E8">
        <w:rPr>
          <w:rFonts w:ascii="Arial" w:hAnsi="Arial" w:cs="Arial"/>
        </w:rPr>
        <w:tab/>
        <w:t>Conservative vs. Aggressive Approaches: Conservative management may prefer to maintain higher liquidity, thus holding more current assets, whereas aggressive management might invest heavily in long-term assets to drive growth.</w:t>
      </w:r>
    </w:p>
    <w:p w14:paraId="4D9BD7D0" w14:textId="77777777" w:rsidR="008776E8" w:rsidRPr="00290947" w:rsidRDefault="008776E8" w:rsidP="003065F5">
      <w:pPr>
        <w:jc w:val="both"/>
        <w:rPr>
          <w:rFonts w:ascii="Arial" w:hAnsi="Arial" w:cs="Arial"/>
          <w:b/>
          <w:bCs/>
        </w:rPr>
      </w:pPr>
      <w:r w:rsidRPr="00290947">
        <w:rPr>
          <w:rFonts w:ascii="Arial" w:hAnsi="Arial" w:cs="Arial"/>
          <w:b/>
          <w:bCs/>
        </w:rPr>
        <w:t>7. Regulatory Environment</w:t>
      </w:r>
    </w:p>
    <w:p w14:paraId="6EB329D7" w14:textId="77777777" w:rsidR="008776E8" w:rsidRPr="008776E8" w:rsidRDefault="008776E8" w:rsidP="003065F5">
      <w:pPr>
        <w:jc w:val="both"/>
        <w:rPr>
          <w:rFonts w:ascii="Arial" w:hAnsi="Arial" w:cs="Arial"/>
        </w:rPr>
      </w:pPr>
      <w:r w:rsidRPr="008776E8">
        <w:rPr>
          <w:rFonts w:ascii="Arial" w:hAnsi="Arial" w:cs="Arial"/>
        </w:rPr>
        <w:t>•</w:t>
      </w:r>
      <w:r w:rsidRPr="008776E8">
        <w:rPr>
          <w:rFonts w:ascii="Arial" w:hAnsi="Arial" w:cs="Arial"/>
        </w:rPr>
        <w:tab/>
        <w:t>Accounting Standards: Changes in accounting regulations can affect how assets are classified and reported, influencing the composition of current vs. long-term assets.</w:t>
      </w:r>
    </w:p>
    <w:p w14:paraId="6A5910CB" w14:textId="77777777" w:rsidR="008776E8" w:rsidRPr="008776E8" w:rsidRDefault="008776E8" w:rsidP="003065F5">
      <w:pPr>
        <w:jc w:val="both"/>
        <w:rPr>
          <w:rFonts w:ascii="Arial" w:hAnsi="Arial" w:cs="Arial"/>
        </w:rPr>
      </w:pPr>
      <w:r w:rsidRPr="008776E8">
        <w:rPr>
          <w:rFonts w:ascii="Arial" w:hAnsi="Arial" w:cs="Arial"/>
        </w:rPr>
        <w:t>•</w:t>
      </w:r>
      <w:r w:rsidRPr="008776E8">
        <w:rPr>
          <w:rFonts w:ascii="Arial" w:hAnsi="Arial" w:cs="Arial"/>
        </w:rPr>
        <w:tab/>
        <w:t>Tax Considerations: Tax policies might encourage investments in certain asset classes, influencing the balance between current and long-term assets.</w:t>
      </w:r>
    </w:p>
    <w:p w14:paraId="75E626F7" w14:textId="77777777" w:rsidR="008776E8" w:rsidRPr="00290947" w:rsidRDefault="008776E8" w:rsidP="003065F5">
      <w:pPr>
        <w:jc w:val="both"/>
        <w:rPr>
          <w:rFonts w:ascii="Arial" w:hAnsi="Arial" w:cs="Arial"/>
          <w:b/>
          <w:bCs/>
        </w:rPr>
      </w:pPr>
      <w:r w:rsidRPr="00290947">
        <w:rPr>
          <w:rFonts w:ascii="Arial" w:hAnsi="Arial" w:cs="Arial"/>
          <w:b/>
          <w:bCs/>
        </w:rPr>
        <w:t>8. Liquidity Requirements</w:t>
      </w:r>
    </w:p>
    <w:p w14:paraId="1971CF2A" w14:textId="77777777" w:rsidR="008776E8" w:rsidRPr="008776E8" w:rsidRDefault="008776E8" w:rsidP="003065F5">
      <w:pPr>
        <w:jc w:val="both"/>
        <w:rPr>
          <w:rFonts w:ascii="Arial" w:hAnsi="Arial" w:cs="Arial"/>
        </w:rPr>
      </w:pPr>
      <w:r w:rsidRPr="008776E8">
        <w:rPr>
          <w:rFonts w:ascii="Arial" w:hAnsi="Arial" w:cs="Arial"/>
        </w:rPr>
        <w:t>•</w:t>
      </w:r>
      <w:r w:rsidRPr="008776E8">
        <w:rPr>
          <w:rFonts w:ascii="Arial" w:hAnsi="Arial" w:cs="Arial"/>
        </w:rPr>
        <w:tab/>
        <w:t>Operational Needs: Companies needing high liquidity to meet short-term obligations or operational expenses will maintain higher current assets.</w:t>
      </w:r>
    </w:p>
    <w:p w14:paraId="3E25346E" w14:textId="77777777" w:rsidR="008776E8" w:rsidRPr="008776E8" w:rsidRDefault="008776E8" w:rsidP="003065F5">
      <w:pPr>
        <w:jc w:val="both"/>
        <w:rPr>
          <w:rFonts w:ascii="Arial" w:hAnsi="Arial" w:cs="Arial"/>
        </w:rPr>
      </w:pPr>
      <w:r w:rsidRPr="008776E8">
        <w:rPr>
          <w:rFonts w:ascii="Arial" w:hAnsi="Arial" w:cs="Arial"/>
        </w:rPr>
        <w:t>•</w:t>
      </w:r>
      <w:r w:rsidRPr="008776E8">
        <w:rPr>
          <w:rFonts w:ascii="Arial" w:hAnsi="Arial" w:cs="Arial"/>
        </w:rPr>
        <w:tab/>
        <w:t>Debt Obligations: Companies with significant short-term debt might need to maintain higher current assets to ensure they can meet their obligations.</w:t>
      </w:r>
    </w:p>
    <w:p w14:paraId="34594650" w14:textId="77777777" w:rsidR="008776E8" w:rsidRPr="008776E8" w:rsidRDefault="008776E8" w:rsidP="003065F5">
      <w:pPr>
        <w:jc w:val="both"/>
        <w:rPr>
          <w:rFonts w:ascii="Arial" w:hAnsi="Arial" w:cs="Arial"/>
        </w:rPr>
      </w:pPr>
      <w:r w:rsidRPr="008776E8">
        <w:rPr>
          <w:rFonts w:ascii="Arial" w:hAnsi="Arial" w:cs="Arial"/>
        </w:rPr>
        <w:t>These factors collectively influence a company's strategic decisions regarding the composition of current and long-term assets, impacting its overall financial health and operational flexibility.</w:t>
      </w:r>
    </w:p>
    <w:p w14:paraId="5FEB498C" w14:textId="77777777" w:rsidR="008776E8" w:rsidRPr="008776E8" w:rsidRDefault="008776E8" w:rsidP="003065F5">
      <w:pPr>
        <w:jc w:val="both"/>
        <w:rPr>
          <w:rFonts w:ascii="Arial" w:hAnsi="Arial" w:cs="Arial"/>
        </w:rPr>
      </w:pPr>
    </w:p>
    <w:p w14:paraId="6E7A78AE" w14:textId="77777777" w:rsidR="008776E8" w:rsidRPr="00290947" w:rsidRDefault="008776E8" w:rsidP="003065F5">
      <w:pPr>
        <w:jc w:val="both"/>
        <w:rPr>
          <w:rFonts w:ascii="Arial" w:hAnsi="Arial" w:cs="Arial"/>
          <w:b/>
          <w:bCs/>
        </w:rPr>
      </w:pPr>
      <w:r w:rsidRPr="00290947">
        <w:rPr>
          <w:rFonts w:ascii="Arial" w:hAnsi="Arial" w:cs="Arial"/>
          <w:b/>
          <w:bCs/>
        </w:rPr>
        <w:t>Q2. How can a company's debt-to-equity ratio impact its creditworthiness and access to capital?</w:t>
      </w:r>
    </w:p>
    <w:p w14:paraId="6B74A950" w14:textId="77777777" w:rsidR="008776E8" w:rsidRPr="008776E8" w:rsidRDefault="008776E8" w:rsidP="003065F5">
      <w:pPr>
        <w:jc w:val="both"/>
        <w:rPr>
          <w:rFonts w:ascii="Arial" w:hAnsi="Arial" w:cs="Arial"/>
        </w:rPr>
      </w:pPr>
    </w:p>
    <w:p w14:paraId="759056DF" w14:textId="77777777" w:rsidR="008776E8" w:rsidRPr="008776E8" w:rsidRDefault="008776E8" w:rsidP="003065F5">
      <w:pPr>
        <w:jc w:val="both"/>
        <w:rPr>
          <w:rFonts w:ascii="Arial" w:hAnsi="Arial" w:cs="Arial"/>
        </w:rPr>
      </w:pPr>
      <w:r w:rsidRPr="008776E8">
        <w:rPr>
          <w:rFonts w:ascii="Arial" w:hAnsi="Arial" w:cs="Arial"/>
        </w:rPr>
        <w:t>A company's debt-to-equity (D/E) ratio is a key financial metric that compares its total debt to its total equity. It provides insight into the company's financial leverage and is an important indicator of creditworthiness and access to capital. Here's how the D/E ratio impacts these aspects:</w:t>
      </w:r>
    </w:p>
    <w:p w14:paraId="3D61B01C" w14:textId="77777777" w:rsidR="008776E8" w:rsidRPr="00290947" w:rsidRDefault="008776E8" w:rsidP="003065F5">
      <w:pPr>
        <w:jc w:val="both"/>
        <w:rPr>
          <w:rFonts w:ascii="Arial" w:hAnsi="Arial" w:cs="Arial"/>
          <w:b/>
          <w:bCs/>
        </w:rPr>
      </w:pPr>
      <w:r w:rsidRPr="00290947">
        <w:rPr>
          <w:rFonts w:ascii="Arial" w:hAnsi="Arial" w:cs="Arial"/>
          <w:b/>
          <w:bCs/>
        </w:rPr>
        <w:t>1. Creditworthiness</w:t>
      </w:r>
    </w:p>
    <w:p w14:paraId="67ADE8D4" w14:textId="77777777" w:rsidR="008776E8" w:rsidRPr="008776E8" w:rsidRDefault="008776E8" w:rsidP="003065F5">
      <w:pPr>
        <w:jc w:val="both"/>
        <w:rPr>
          <w:rFonts w:ascii="Arial" w:hAnsi="Arial" w:cs="Arial"/>
        </w:rPr>
      </w:pPr>
      <w:r w:rsidRPr="008776E8">
        <w:rPr>
          <w:rFonts w:ascii="Arial" w:hAnsi="Arial" w:cs="Arial"/>
        </w:rPr>
        <w:t>•</w:t>
      </w:r>
      <w:r w:rsidRPr="008776E8">
        <w:rPr>
          <w:rFonts w:ascii="Arial" w:hAnsi="Arial" w:cs="Arial"/>
        </w:rPr>
        <w:tab/>
        <w:t>Perception of Risk: A higher D/E ratio suggests that a company is more leveraged, meaning it relies more on debt financing than equity. This can be perceived as risky by creditors, as the company has more obligations to repay debt, which could strain its cash flow, especially during economic downturns or periods of low revenue.</w:t>
      </w:r>
    </w:p>
    <w:p w14:paraId="15C9F1DF" w14:textId="77777777" w:rsidR="008776E8" w:rsidRPr="008776E8" w:rsidRDefault="008776E8" w:rsidP="003065F5">
      <w:pPr>
        <w:jc w:val="both"/>
        <w:rPr>
          <w:rFonts w:ascii="Arial" w:hAnsi="Arial" w:cs="Arial"/>
        </w:rPr>
      </w:pPr>
      <w:r w:rsidRPr="008776E8">
        <w:rPr>
          <w:rFonts w:ascii="Arial" w:hAnsi="Arial" w:cs="Arial"/>
        </w:rPr>
        <w:t>•</w:t>
      </w:r>
      <w:r w:rsidRPr="008776E8">
        <w:rPr>
          <w:rFonts w:ascii="Arial" w:hAnsi="Arial" w:cs="Arial"/>
        </w:rPr>
        <w:tab/>
        <w:t>Default Risk: If a company has a high D/E ratio, it may be at a higher risk of default, as it may struggle to meet its debt obligations, particularly if its earnings are volatile or insufficient to cover interest payments and principal repayments.</w:t>
      </w:r>
    </w:p>
    <w:p w14:paraId="7F50BE37" w14:textId="77777777" w:rsidR="008776E8" w:rsidRPr="008776E8" w:rsidRDefault="008776E8" w:rsidP="003065F5">
      <w:pPr>
        <w:jc w:val="both"/>
        <w:rPr>
          <w:rFonts w:ascii="Arial" w:hAnsi="Arial" w:cs="Arial"/>
        </w:rPr>
      </w:pPr>
      <w:r w:rsidRPr="008776E8">
        <w:rPr>
          <w:rFonts w:ascii="Arial" w:hAnsi="Arial" w:cs="Arial"/>
        </w:rPr>
        <w:lastRenderedPageBreak/>
        <w:t>•</w:t>
      </w:r>
      <w:r w:rsidRPr="008776E8">
        <w:rPr>
          <w:rFonts w:ascii="Arial" w:hAnsi="Arial" w:cs="Arial"/>
        </w:rPr>
        <w:tab/>
        <w:t xml:space="preserve">Credit Rating: Credit rating agencies often consider the D/E ratio when assigning a credit rating to a company. A higher D/E ratio can lead to a lower credit rating, indicating higher credit risk. This, in turn, affects the company's ability to borrow at </w:t>
      </w:r>
      <w:proofErr w:type="spellStart"/>
      <w:r w:rsidRPr="008776E8">
        <w:rPr>
          <w:rFonts w:ascii="Arial" w:hAnsi="Arial" w:cs="Arial"/>
        </w:rPr>
        <w:t>favorable</w:t>
      </w:r>
      <w:proofErr w:type="spellEnd"/>
      <w:r w:rsidRPr="008776E8">
        <w:rPr>
          <w:rFonts w:ascii="Arial" w:hAnsi="Arial" w:cs="Arial"/>
        </w:rPr>
        <w:t xml:space="preserve"> rates.</w:t>
      </w:r>
    </w:p>
    <w:p w14:paraId="579E4BC0" w14:textId="77777777" w:rsidR="008776E8" w:rsidRPr="008776E8" w:rsidRDefault="008776E8" w:rsidP="003065F5">
      <w:pPr>
        <w:jc w:val="both"/>
        <w:rPr>
          <w:rFonts w:ascii="Arial" w:hAnsi="Arial" w:cs="Arial"/>
        </w:rPr>
      </w:pPr>
      <w:r w:rsidRPr="008776E8">
        <w:rPr>
          <w:rFonts w:ascii="Arial" w:hAnsi="Arial" w:cs="Arial"/>
        </w:rPr>
        <w:t>•</w:t>
      </w:r>
      <w:r w:rsidRPr="008776E8">
        <w:rPr>
          <w:rFonts w:ascii="Arial" w:hAnsi="Arial" w:cs="Arial"/>
        </w:rPr>
        <w:tab/>
        <w:t>Interest Costs: Companies with higher D/E ratios may face higher interest rates on new debt, as lenders demand a risk premium. This increases the cost of borrowing and can further strain the company's financial resources.</w:t>
      </w:r>
    </w:p>
    <w:p w14:paraId="6ECCE3AE" w14:textId="77777777" w:rsidR="008776E8" w:rsidRPr="00290947" w:rsidRDefault="008776E8" w:rsidP="003065F5">
      <w:pPr>
        <w:jc w:val="both"/>
        <w:rPr>
          <w:rFonts w:ascii="Arial" w:hAnsi="Arial" w:cs="Arial"/>
          <w:b/>
          <w:bCs/>
        </w:rPr>
      </w:pPr>
      <w:r w:rsidRPr="00290947">
        <w:rPr>
          <w:rFonts w:ascii="Arial" w:hAnsi="Arial" w:cs="Arial"/>
          <w:b/>
          <w:bCs/>
        </w:rPr>
        <w:t>2. Access to Capital</w:t>
      </w:r>
    </w:p>
    <w:p w14:paraId="45478FBC" w14:textId="77777777" w:rsidR="008776E8" w:rsidRPr="008776E8" w:rsidRDefault="008776E8" w:rsidP="003065F5">
      <w:pPr>
        <w:jc w:val="both"/>
        <w:rPr>
          <w:rFonts w:ascii="Arial" w:hAnsi="Arial" w:cs="Arial"/>
        </w:rPr>
      </w:pPr>
      <w:r w:rsidRPr="008776E8">
        <w:rPr>
          <w:rFonts w:ascii="Arial" w:hAnsi="Arial" w:cs="Arial"/>
        </w:rPr>
        <w:t>•</w:t>
      </w:r>
      <w:r w:rsidRPr="008776E8">
        <w:rPr>
          <w:rFonts w:ascii="Arial" w:hAnsi="Arial" w:cs="Arial"/>
        </w:rPr>
        <w:tab/>
        <w:t>Bank Loans and Bonds: Companies with lower D/E ratios are generally seen as more stable and financially sound, making it easier for them to secure bank loans or issue bonds. Lenders and investors are more willing to provide capital to companies that demonstrate a strong equity base relative to their debt.</w:t>
      </w:r>
    </w:p>
    <w:p w14:paraId="6561ED25" w14:textId="77777777" w:rsidR="008776E8" w:rsidRPr="008776E8" w:rsidRDefault="008776E8" w:rsidP="003065F5">
      <w:pPr>
        <w:jc w:val="both"/>
        <w:rPr>
          <w:rFonts w:ascii="Arial" w:hAnsi="Arial" w:cs="Arial"/>
        </w:rPr>
      </w:pPr>
      <w:r w:rsidRPr="008776E8">
        <w:rPr>
          <w:rFonts w:ascii="Arial" w:hAnsi="Arial" w:cs="Arial"/>
        </w:rPr>
        <w:t>•</w:t>
      </w:r>
      <w:r w:rsidRPr="008776E8">
        <w:rPr>
          <w:rFonts w:ascii="Arial" w:hAnsi="Arial" w:cs="Arial"/>
        </w:rPr>
        <w:tab/>
        <w:t>Equity Financing: A lower D/E ratio indicates that a company has more room to take on additional debt if needed. This flexibility can make it easier to raise capital through equity markets, as investors may be more confident in the company's ability to manage its obligations.</w:t>
      </w:r>
    </w:p>
    <w:p w14:paraId="78D39A13" w14:textId="77777777" w:rsidR="008776E8" w:rsidRPr="008776E8" w:rsidRDefault="008776E8" w:rsidP="003065F5">
      <w:pPr>
        <w:jc w:val="both"/>
        <w:rPr>
          <w:rFonts w:ascii="Arial" w:hAnsi="Arial" w:cs="Arial"/>
        </w:rPr>
      </w:pPr>
      <w:r w:rsidRPr="008776E8">
        <w:rPr>
          <w:rFonts w:ascii="Arial" w:hAnsi="Arial" w:cs="Arial"/>
        </w:rPr>
        <w:t>•</w:t>
      </w:r>
      <w:r w:rsidRPr="008776E8">
        <w:rPr>
          <w:rFonts w:ascii="Arial" w:hAnsi="Arial" w:cs="Arial"/>
        </w:rPr>
        <w:tab/>
        <w:t>Covenants and Restrictions: Companies with higher D/E ratios might face restrictive covenants on existing debt, which can limit their ability to take on more debt or require them to maintain certain financial ratios. These restrictions can hinder the company's ability to raise additional capital or invest in growth opportunities.</w:t>
      </w:r>
    </w:p>
    <w:p w14:paraId="68CAD1D9" w14:textId="77777777" w:rsidR="008776E8" w:rsidRPr="008776E8" w:rsidRDefault="008776E8" w:rsidP="003065F5">
      <w:pPr>
        <w:jc w:val="both"/>
        <w:rPr>
          <w:rFonts w:ascii="Arial" w:hAnsi="Arial" w:cs="Arial"/>
        </w:rPr>
      </w:pPr>
      <w:r w:rsidRPr="008776E8">
        <w:rPr>
          <w:rFonts w:ascii="Arial" w:hAnsi="Arial" w:cs="Arial"/>
        </w:rPr>
        <w:t>•</w:t>
      </w:r>
      <w:r w:rsidRPr="008776E8">
        <w:rPr>
          <w:rFonts w:ascii="Arial" w:hAnsi="Arial" w:cs="Arial"/>
        </w:rPr>
        <w:tab/>
        <w:t>Investor Confidence: Investors typically prefer companies with balanced D/E ratios, as extreme leverage (either too high or too low) can be a red flag. A balanced D/E ratio suggests that the company is using leverage effectively while maintaining financial stability, making it more attractive to both debt and equity investors.</w:t>
      </w:r>
    </w:p>
    <w:p w14:paraId="47E150EA" w14:textId="77777777" w:rsidR="008776E8" w:rsidRPr="008776E8" w:rsidRDefault="008776E8" w:rsidP="003065F5">
      <w:pPr>
        <w:jc w:val="both"/>
        <w:rPr>
          <w:rFonts w:ascii="Arial" w:hAnsi="Arial" w:cs="Arial"/>
        </w:rPr>
      </w:pPr>
      <w:r w:rsidRPr="008776E8">
        <w:rPr>
          <w:rFonts w:ascii="Arial" w:hAnsi="Arial" w:cs="Arial"/>
        </w:rPr>
        <w:t>•</w:t>
      </w:r>
      <w:r w:rsidRPr="008776E8">
        <w:rPr>
          <w:rFonts w:ascii="Arial" w:hAnsi="Arial" w:cs="Arial"/>
        </w:rPr>
        <w:tab/>
        <w:t>Cost of Capital: The D/E ratio influences a company's weighted average cost of capital (WACC). A higher D/E ratio increases the cost of debt due to higher interest rates and can also increase the cost of equity as equity investors demand a higher return for increased risk. This higher WACC can make it more expensive for the company to raise capital.</w:t>
      </w:r>
    </w:p>
    <w:p w14:paraId="29EA0E1B" w14:textId="77777777" w:rsidR="008776E8" w:rsidRPr="00290947" w:rsidRDefault="008776E8" w:rsidP="003065F5">
      <w:pPr>
        <w:jc w:val="both"/>
        <w:rPr>
          <w:rFonts w:ascii="Arial" w:hAnsi="Arial" w:cs="Arial"/>
          <w:b/>
          <w:bCs/>
        </w:rPr>
      </w:pPr>
      <w:r w:rsidRPr="00290947">
        <w:rPr>
          <w:rFonts w:ascii="Arial" w:hAnsi="Arial" w:cs="Arial"/>
          <w:b/>
          <w:bCs/>
        </w:rPr>
        <w:t>3. Strategic Flexibility</w:t>
      </w:r>
    </w:p>
    <w:p w14:paraId="132BE745" w14:textId="77777777" w:rsidR="008776E8" w:rsidRPr="008776E8" w:rsidRDefault="008776E8" w:rsidP="003065F5">
      <w:pPr>
        <w:jc w:val="both"/>
        <w:rPr>
          <w:rFonts w:ascii="Arial" w:hAnsi="Arial" w:cs="Arial"/>
        </w:rPr>
      </w:pPr>
      <w:r w:rsidRPr="008776E8">
        <w:rPr>
          <w:rFonts w:ascii="Arial" w:hAnsi="Arial" w:cs="Arial"/>
        </w:rPr>
        <w:t>•</w:t>
      </w:r>
      <w:r w:rsidRPr="008776E8">
        <w:rPr>
          <w:rFonts w:ascii="Arial" w:hAnsi="Arial" w:cs="Arial"/>
        </w:rPr>
        <w:tab/>
        <w:t>Growth Opportunities: Companies with lower D/E ratios have greater flexibility to pursue growth opportunities, as they can more easily raise additional debt or equity capital. In contrast, companies with high D/E ratios may find it challenging to finance new projects, acquisitions, or expansions due to limited borrowing capacity and higher costs of capital.</w:t>
      </w:r>
    </w:p>
    <w:p w14:paraId="16540428" w14:textId="77777777" w:rsidR="008776E8" w:rsidRPr="008776E8" w:rsidRDefault="008776E8" w:rsidP="003065F5">
      <w:pPr>
        <w:jc w:val="both"/>
        <w:rPr>
          <w:rFonts w:ascii="Arial" w:hAnsi="Arial" w:cs="Arial"/>
        </w:rPr>
      </w:pPr>
      <w:r w:rsidRPr="008776E8">
        <w:rPr>
          <w:rFonts w:ascii="Arial" w:hAnsi="Arial" w:cs="Arial"/>
        </w:rPr>
        <w:t>•</w:t>
      </w:r>
      <w:r w:rsidRPr="008776E8">
        <w:rPr>
          <w:rFonts w:ascii="Arial" w:hAnsi="Arial" w:cs="Arial"/>
        </w:rPr>
        <w:tab/>
        <w:t>Resilience in Downturns: Companies with a lower D/E ratio are generally more resilient during economic downturns. They have fewer debt obligations to meet, which allows them to maintain operations and invest in opportunities even during challenging times. This resilience can be attractive to investors and lenders, enhancing the company's creditworthiness and access to capital.</w:t>
      </w:r>
    </w:p>
    <w:p w14:paraId="30302DF3" w14:textId="77777777" w:rsidR="008776E8" w:rsidRPr="008776E8" w:rsidRDefault="008776E8" w:rsidP="003065F5">
      <w:pPr>
        <w:jc w:val="both"/>
        <w:rPr>
          <w:rFonts w:ascii="Arial" w:hAnsi="Arial" w:cs="Arial"/>
        </w:rPr>
      </w:pPr>
      <w:r w:rsidRPr="008776E8">
        <w:rPr>
          <w:rFonts w:ascii="Arial" w:hAnsi="Arial" w:cs="Arial"/>
        </w:rPr>
        <w:t>In summary, a company's D/E ratio plays a crucial role in determining its creditworthiness and access to capital. While some level of debt can be beneficial for growth and expansion, excessive leverage can lead to higher financial risk, reduced credit ratings, increased borrowing costs, and limited access to additional capital. A balanced approach to managing the D/E ratio is essential for maintaining financial stability and strategic flexibility.</w:t>
      </w:r>
    </w:p>
    <w:p w14:paraId="435F9EB1" w14:textId="77777777" w:rsidR="008776E8" w:rsidRPr="008776E8" w:rsidRDefault="008776E8" w:rsidP="003065F5">
      <w:pPr>
        <w:jc w:val="both"/>
        <w:rPr>
          <w:rFonts w:ascii="Arial" w:hAnsi="Arial" w:cs="Arial"/>
        </w:rPr>
      </w:pPr>
    </w:p>
    <w:p w14:paraId="2E0EBF22" w14:textId="6EA30092" w:rsidR="008776E8" w:rsidRPr="008776E8" w:rsidRDefault="008776E8" w:rsidP="003065F5">
      <w:pPr>
        <w:jc w:val="both"/>
        <w:rPr>
          <w:rFonts w:ascii="Arial" w:hAnsi="Arial" w:cs="Arial"/>
        </w:rPr>
      </w:pPr>
      <w:r w:rsidRPr="00290947">
        <w:rPr>
          <w:rFonts w:ascii="Arial" w:hAnsi="Arial" w:cs="Arial"/>
          <w:b/>
          <w:bCs/>
        </w:rPr>
        <w:lastRenderedPageBreak/>
        <w:t>Formula:</w:t>
      </w:r>
    </w:p>
    <w:p w14:paraId="06C75173" w14:textId="77777777" w:rsidR="008776E8" w:rsidRPr="00290947" w:rsidRDefault="008776E8" w:rsidP="003065F5">
      <w:pPr>
        <w:jc w:val="both"/>
        <w:rPr>
          <w:rFonts w:ascii="Arial" w:hAnsi="Arial" w:cs="Arial"/>
          <w:b/>
          <w:bCs/>
        </w:rPr>
      </w:pPr>
      <w:r w:rsidRPr="00290947">
        <w:rPr>
          <w:rFonts w:ascii="Arial" w:hAnsi="Arial" w:cs="Arial"/>
          <w:b/>
          <w:bCs/>
        </w:rPr>
        <w:t>Debt-to-Equity Ratio= Total Liabilities/Shareholders’ Equity</w:t>
      </w:r>
    </w:p>
    <w:p w14:paraId="278C50F1" w14:textId="77777777" w:rsidR="008776E8" w:rsidRPr="008776E8" w:rsidRDefault="008776E8" w:rsidP="003065F5">
      <w:pPr>
        <w:jc w:val="both"/>
        <w:rPr>
          <w:rFonts w:ascii="Arial" w:hAnsi="Arial" w:cs="Arial"/>
        </w:rPr>
      </w:pPr>
    </w:p>
    <w:p w14:paraId="4D09EED0" w14:textId="57D56845" w:rsidR="008776E8" w:rsidRPr="00290947" w:rsidRDefault="008776E8" w:rsidP="003065F5">
      <w:pPr>
        <w:jc w:val="both"/>
        <w:rPr>
          <w:rFonts w:ascii="Arial" w:hAnsi="Arial" w:cs="Arial"/>
          <w:b/>
          <w:bCs/>
        </w:rPr>
      </w:pPr>
      <w:r w:rsidRPr="00290947">
        <w:rPr>
          <w:rFonts w:ascii="Arial" w:hAnsi="Arial" w:cs="Arial"/>
          <w:b/>
          <w:bCs/>
        </w:rPr>
        <w:t xml:space="preserve">Q3. Debt-to-Equity Ratio: How has the debt-to-equity ratio changed over the four years? (take in </w:t>
      </w:r>
      <w:r w:rsidR="00290947" w:rsidRPr="00290947">
        <w:rPr>
          <w:rFonts w:ascii="Arial" w:hAnsi="Arial" w:cs="Arial"/>
          <w:b/>
          <w:bCs/>
        </w:rPr>
        <w:t>consideration</w:t>
      </w:r>
      <w:r w:rsidRPr="00290947">
        <w:rPr>
          <w:rFonts w:ascii="Arial" w:hAnsi="Arial" w:cs="Arial"/>
          <w:b/>
          <w:bCs/>
        </w:rPr>
        <w:t xml:space="preserve"> total liabilities and total </w:t>
      </w:r>
      <w:proofErr w:type="gramStart"/>
      <w:r w:rsidRPr="00290947">
        <w:rPr>
          <w:rFonts w:ascii="Arial" w:hAnsi="Arial" w:cs="Arial"/>
          <w:b/>
          <w:bCs/>
        </w:rPr>
        <w:t>equity)Is</w:t>
      </w:r>
      <w:proofErr w:type="gramEnd"/>
      <w:r w:rsidRPr="00290947">
        <w:rPr>
          <w:rFonts w:ascii="Arial" w:hAnsi="Arial" w:cs="Arial"/>
          <w:b/>
          <w:bCs/>
        </w:rPr>
        <w:t xml:space="preserve"> the company relying more on debt financing or equity financing?</w:t>
      </w:r>
    </w:p>
    <w:tbl>
      <w:tblPr>
        <w:tblW w:w="9634" w:type="dxa"/>
        <w:tblLook w:val="04A0" w:firstRow="1" w:lastRow="0" w:firstColumn="1" w:lastColumn="0" w:noHBand="0" w:noVBand="1"/>
      </w:tblPr>
      <w:tblGrid>
        <w:gridCol w:w="4660"/>
        <w:gridCol w:w="1280"/>
        <w:gridCol w:w="1280"/>
        <w:gridCol w:w="1387"/>
        <w:gridCol w:w="1387"/>
      </w:tblGrid>
      <w:tr w:rsidR="008776E8" w:rsidRPr="003B280A" w14:paraId="7B1EC264" w14:textId="77777777" w:rsidTr="008776E8">
        <w:trPr>
          <w:trHeight w:val="285"/>
        </w:trPr>
        <w:tc>
          <w:tcPr>
            <w:tcW w:w="4660" w:type="dxa"/>
            <w:tcBorders>
              <w:top w:val="single" w:sz="4" w:space="0" w:color="auto"/>
              <w:left w:val="single" w:sz="4" w:space="0" w:color="auto"/>
              <w:bottom w:val="single" w:sz="4" w:space="0" w:color="auto"/>
              <w:right w:val="single" w:sz="4" w:space="0" w:color="auto"/>
            </w:tcBorders>
            <w:shd w:val="clear" w:color="2A3E68" w:fill="2A3E68"/>
            <w:noWrap/>
            <w:vAlign w:val="bottom"/>
            <w:hideMark/>
          </w:tcPr>
          <w:p w14:paraId="01E21A9D" w14:textId="77777777" w:rsidR="008776E8" w:rsidRPr="003B280A" w:rsidRDefault="008776E8" w:rsidP="003065F5">
            <w:pPr>
              <w:spacing w:after="0" w:line="240" w:lineRule="auto"/>
              <w:jc w:val="both"/>
              <w:rPr>
                <w:rFonts w:ascii="Calibri" w:eastAsia="Times New Roman" w:hAnsi="Calibri" w:cs="Calibri"/>
                <w:color w:val="FFFFFF"/>
                <w:kern w:val="0"/>
                <w:lang w:eastAsia="en-IN"/>
                <w14:ligatures w14:val="none"/>
              </w:rPr>
            </w:pPr>
            <w:r w:rsidRPr="003B280A">
              <w:rPr>
                <w:rFonts w:ascii="Calibri" w:eastAsia="Times New Roman" w:hAnsi="Calibri" w:cs="Calibri"/>
                <w:color w:val="FFFFFF"/>
                <w:kern w:val="0"/>
                <w:lang w:eastAsia="en-IN"/>
                <w14:ligatures w14:val="none"/>
              </w:rPr>
              <w:t>Consolidated Balance Sheets - USD ($) $ in Millions</w:t>
            </w:r>
          </w:p>
        </w:tc>
        <w:tc>
          <w:tcPr>
            <w:tcW w:w="1280" w:type="dxa"/>
            <w:tcBorders>
              <w:top w:val="single" w:sz="4" w:space="0" w:color="auto"/>
              <w:left w:val="nil"/>
              <w:bottom w:val="single" w:sz="4" w:space="0" w:color="auto"/>
              <w:right w:val="single" w:sz="4" w:space="0" w:color="auto"/>
            </w:tcBorders>
            <w:shd w:val="clear" w:color="2A3E68" w:fill="2A3E68"/>
            <w:noWrap/>
            <w:vAlign w:val="bottom"/>
            <w:hideMark/>
          </w:tcPr>
          <w:p w14:paraId="5A23A577" w14:textId="77777777" w:rsidR="008776E8" w:rsidRPr="003B280A" w:rsidRDefault="008776E8" w:rsidP="003065F5">
            <w:pPr>
              <w:spacing w:after="0" w:line="240" w:lineRule="auto"/>
              <w:jc w:val="both"/>
              <w:rPr>
                <w:rFonts w:ascii="Calibri" w:eastAsia="Times New Roman" w:hAnsi="Calibri" w:cs="Calibri"/>
                <w:color w:val="FFFFFF"/>
                <w:kern w:val="0"/>
                <w:lang w:eastAsia="en-IN"/>
                <w14:ligatures w14:val="none"/>
              </w:rPr>
            </w:pPr>
            <w:r w:rsidRPr="003B280A">
              <w:rPr>
                <w:rFonts w:ascii="Calibri" w:eastAsia="Times New Roman" w:hAnsi="Calibri" w:cs="Calibri"/>
                <w:color w:val="FFFFFF"/>
                <w:kern w:val="0"/>
                <w:lang w:eastAsia="en-IN"/>
                <w14:ligatures w14:val="none"/>
              </w:rPr>
              <w:t>Sep. 02, 2018</w:t>
            </w:r>
          </w:p>
        </w:tc>
        <w:tc>
          <w:tcPr>
            <w:tcW w:w="1280" w:type="dxa"/>
            <w:tcBorders>
              <w:top w:val="single" w:sz="4" w:space="0" w:color="auto"/>
              <w:left w:val="nil"/>
              <w:bottom w:val="single" w:sz="4" w:space="0" w:color="auto"/>
              <w:right w:val="single" w:sz="4" w:space="0" w:color="auto"/>
            </w:tcBorders>
            <w:shd w:val="clear" w:color="2A3E68" w:fill="2A3E68"/>
            <w:noWrap/>
            <w:vAlign w:val="bottom"/>
            <w:hideMark/>
          </w:tcPr>
          <w:p w14:paraId="248FBB6C" w14:textId="77777777" w:rsidR="008776E8" w:rsidRPr="003B280A" w:rsidRDefault="008776E8" w:rsidP="003065F5">
            <w:pPr>
              <w:spacing w:after="0" w:line="240" w:lineRule="auto"/>
              <w:jc w:val="both"/>
              <w:rPr>
                <w:rFonts w:ascii="Calibri" w:eastAsia="Times New Roman" w:hAnsi="Calibri" w:cs="Calibri"/>
                <w:color w:val="FFFFFF"/>
                <w:kern w:val="0"/>
                <w:lang w:eastAsia="en-IN"/>
                <w14:ligatures w14:val="none"/>
              </w:rPr>
            </w:pPr>
            <w:r w:rsidRPr="003B280A">
              <w:rPr>
                <w:rFonts w:ascii="Calibri" w:eastAsia="Times New Roman" w:hAnsi="Calibri" w:cs="Calibri"/>
                <w:color w:val="FFFFFF"/>
                <w:kern w:val="0"/>
                <w:lang w:eastAsia="en-IN"/>
                <w14:ligatures w14:val="none"/>
              </w:rPr>
              <w:t>Sep. 01, 2019</w:t>
            </w:r>
          </w:p>
        </w:tc>
        <w:tc>
          <w:tcPr>
            <w:tcW w:w="1387" w:type="dxa"/>
            <w:tcBorders>
              <w:top w:val="single" w:sz="4" w:space="0" w:color="auto"/>
              <w:left w:val="nil"/>
              <w:bottom w:val="single" w:sz="4" w:space="0" w:color="auto"/>
              <w:right w:val="single" w:sz="4" w:space="0" w:color="auto"/>
            </w:tcBorders>
            <w:shd w:val="clear" w:color="2A3E68" w:fill="2A3E68"/>
            <w:noWrap/>
            <w:vAlign w:val="bottom"/>
            <w:hideMark/>
          </w:tcPr>
          <w:p w14:paraId="3915EC03" w14:textId="77777777" w:rsidR="008776E8" w:rsidRPr="003B280A" w:rsidRDefault="008776E8" w:rsidP="003065F5">
            <w:pPr>
              <w:spacing w:after="0" w:line="240" w:lineRule="auto"/>
              <w:jc w:val="both"/>
              <w:rPr>
                <w:rFonts w:ascii="Calibri" w:eastAsia="Times New Roman" w:hAnsi="Calibri" w:cs="Calibri"/>
                <w:color w:val="FFFFFF"/>
                <w:kern w:val="0"/>
                <w:lang w:eastAsia="en-IN"/>
                <w14:ligatures w14:val="none"/>
              </w:rPr>
            </w:pPr>
            <w:r w:rsidRPr="003B280A">
              <w:rPr>
                <w:rFonts w:ascii="Calibri" w:eastAsia="Times New Roman" w:hAnsi="Calibri" w:cs="Calibri"/>
                <w:color w:val="FFFFFF"/>
                <w:kern w:val="0"/>
                <w:lang w:eastAsia="en-IN"/>
                <w14:ligatures w14:val="none"/>
              </w:rPr>
              <w:t>Aug. 30, 2020</w:t>
            </w:r>
          </w:p>
        </w:tc>
        <w:tc>
          <w:tcPr>
            <w:tcW w:w="1027" w:type="dxa"/>
            <w:tcBorders>
              <w:top w:val="single" w:sz="4" w:space="0" w:color="auto"/>
              <w:left w:val="nil"/>
              <w:bottom w:val="single" w:sz="4" w:space="0" w:color="auto"/>
              <w:right w:val="single" w:sz="4" w:space="0" w:color="auto"/>
            </w:tcBorders>
            <w:shd w:val="clear" w:color="2A3E68" w:fill="2A3E68"/>
            <w:noWrap/>
            <w:vAlign w:val="bottom"/>
            <w:hideMark/>
          </w:tcPr>
          <w:p w14:paraId="190BF766" w14:textId="77777777" w:rsidR="008776E8" w:rsidRPr="003B280A" w:rsidRDefault="008776E8" w:rsidP="003065F5">
            <w:pPr>
              <w:spacing w:after="0" w:line="240" w:lineRule="auto"/>
              <w:jc w:val="both"/>
              <w:rPr>
                <w:rFonts w:ascii="Calibri" w:eastAsia="Times New Roman" w:hAnsi="Calibri" w:cs="Calibri"/>
                <w:color w:val="FFFFFF"/>
                <w:kern w:val="0"/>
                <w:lang w:eastAsia="en-IN"/>
                <w14:ligatures w14:val="none"/>
              </w:rPr>
            </w:pPr>
            <w:r w:rsidRPr="003B280A">
              <w:rPr>
                <w:rFonts w:ascii="Calibri" w:eastAsia="Times New Roman" w:hAnsi="Calibri" w:cs="Calibri"/>
                <w:color w:val="FFFFFF"/>
                <w:kern w:val="0"/>
                <w:lang w:eastAsia="en-IN"/>
                <w14:ligatures w14:val="none"/>
              </w:rPr>
              <w:t>Aug. 29, 2021</w:t>
            </w:r>
          </w:p>
        </w:tc>
      </w:tr>
      <w:tr w:rsidR="008776E8" w:rsidRPr="003B280A" w14:paraId="1DFB224B" w14:textId="77777777" w:rsidTr="008776E8">
        <w:trPr>
          <w:trHeight w:val="285"/>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14:paraId="66147B53"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Total liabilities</w:t>
            </w:r>
          </w:p>
        </w:tc>
        <w:tc>
          <w:tcPr>
            <w:tcW w:w="1280" w:type="dxa"/>
            <w:tcBorders>
              <w:top w:val="nil"/>
              <w:left w:val="nil"/>
              <w:bottom w:val="single" w:sz="4" w:space="0" w:color="auto"/>
              <w:right w:val="single" w:sz="4" w:space="0" w:color="auto"/>
            </w:tcBorders>
            <w:shd w:val="clear" w:color="auto" w:fill="auto"/>
            <w:noWrap/>
            <w:vAlign w:val="bottom"/>
            <w:hideMark/>
          </w:tcPr>
          <w:p w14:paraId="3ACC08E0"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27,727</w:t>
            </w:r>
          </w:p>
        </w:tc>
        <w:tc>
          <w:tcPr>
            <w:tcW w:w="1280" w:type="dxa"/>
            <w:tcBorders>
              <w:top w:val="nil"/>
              <w:left w:val="nil"/>
              <w:bottom w:val="single" w:sz="4" w:space="0" w:color="auto"/>
              <w:right w:val="single" w:sz="4" w:space="0" w:color="auto"/>
            </w:tcBorders>
            <w:shd w:val="clear" w:color="auto" w:fill="auto"/>
            <w:noWrap/>
            <w:vAlign w:val="bottom"/>
            <w:hideMark/>
          </w:tcPr>
          <w:p w14:paraId="407D5E87"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29,816</w:t>
            </w:r>
          </w:p>
        </w:tc>
        <w:tc>
          <w:tcPr>
            <w:tcW w:w="1387" w:type="dxa"/>
            <w:tcBorders>
              <w:top w:val="nil"/>
              <w:left w:val="nil"/>
              <w:bottom w:val="single" w:sz="4" w:space="0" w:color="auto"/>
              <w:right w:val="single" w:sz="4" w:space="0" w:color="auto"/>
            </w:tcBorders>
            <w:shd w:val="clear" w:color="auto" w:fill="auto"/>
            <w:noWrap/>
            <w:vAlign w:val="bottom"/>
            <w:hideMark/>
          </w:tcPr>
          <w:p w14:paraId="24A04320"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36,851</w:t>
            </w:r>
          </w:p>
        </w:tc>
        <w:tc>
          <w:tcPr>
            <w:tcW w:w="1027" w:type="dxa"/>
            <w:tcBorders>
              <w:top w:val="nil"/>
              <w:left w:val="nil"/>
              <w:bottom w:val="single" w:sz="4" w:space="0" w:color="auto"/>
              <w:right w:val="single" w:sz="4" w:space="0" w:color="auto"/>
            </w:tcBorders>
            <w:shd w:val="clear" w:color="auto" w:fill="auto"/>
            <w:noWrap/>
            <w:vAlign w:val="bottom"/>
            <w:hideMark/>
          </w:tcPr>
          <w:p w14:paraId="333BF38C"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41,190</w:t>
            </w:r>
          </w:p>
        </w:tc>
      </w:tr>
      <w:tr w:rsidR="008776E8" w:rsidRPr="003B280A" w14:paraId="76FE1A30" w14:textId="77777777" w:rsidTr="008776E8">
        <w:trPr>
          <w:trHeight w:val="285"/>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14:paraId="465F6852"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Total equity</w:t>
            </w:r>
          </w:p>
        </w:tc>
        <w:tc>
          <w:tcPr>
            <w:tcW w:w="1280" w:type="dxa"/>
            <w:tcBorders>
              <w:top w:val="nil"/>
              <w:left w:val="nil"/>
              <w:bottom w:val="single" w:sz="4" w:space="0" w:color="auto"/>
              <w:right w:val="single" w:sz="4" w:space="0" w:color="auto"/>
            </w:tcBorders>
            <w:shd w:val="clear" w:color="auto" w:fill="auto"/>
            <w:noWrap/>
            <w:vAlign w:val="bottom"/>
            <w:hideMark/>
          </w:tcPr>
          <w:p w14:paraId="5531D9CB"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13,103</w:t>
            </w:r>
          </w:p>
        </w:tc>
        <w:tc>
          <w:tcPr>
            <w:tcW w:w="1280" w:type="dxa"/>
            <w:tcBorders>
              <w:top w:val="nil"/>
              <w:left w:val="nil"/>
              <w:bottom w:val="single" w:sz="4" w:space="0" w:color="auto"/>
              <w:right w:val="single" w:sz="4" w:space="0" w:color="auto"/>
            </w:tcBorders>
            <w:shd w:val="clear" w:color="auto" w:fill="auto"/>
            <w:noWrap/>
            <w:vAlign w:val="bottom"/>
            <w:hideMark/>
          </w:tcPr>
          <w:p w14:paraId="747D2FF0"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15,584</w:t>
            </w:r>
          </w:p>
        </w:tc>
        <w:tc>
          <w:tcPr>
            <w:tcW w:w="1387" w:type="dxa"/>
            <w:tcBorders>
              <w:top w:val="nil"/>
              <w:left w:val="nil"/>
              <w:bottom w:val="single" w:sz="4" w:space="0" w:color="auto"/>
              <w:right w:val="single" w:sz="4" w:space="0" w:color="auto"/>
            </w:tcBorders>
            <w:shd w:val="clear" w:color="auto" w:fill="auto"/>
            <w:noWrap/>
            <w:vAlign w:val="bottom"/>
            <w:hideMark/>
          </w:tcPr>
          <w:p w14:paraId="01A4F94F"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18,705</w:t>
            </w:r>
          </w:p>
        </w:tc>
        <w:tc>
          <w:tcPr>
            <w:tcW w:w="1027" w:type="dxa"/>
            <w:tcBorders>
              <w:top w:val="nil"/>
              <w:left w:val="nil"/>
              <w:bottom w:val="single" w:sz="4" w:space="0" w:color="auto"/>
              <w:right w:val="single" w:sz="4" w:space="0" w:color="auto"/>
            </w:tcBorders>
            <w:shd w:val="clear" w:color="auto" w:fill="auto"/>
            <w:noWrap/>
            <w:vAlign w:val="bottom"/>
            <w:hideMark/>
          </w:tcPr>
          <w:p w14:paraId="30FD0D90"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18,078</w:t>
            </w:r>
          </w:p>
        </w:tc>
      </w:tr>
      <w:tr w:rsidR="008776E8" w:rsidRPr="003B280A" w14:paraId="7BF41186" w14:textId="77777777" w:rsidTr="008776E8">
        <w:trPr>
          <w:trHeight w:val="285"/>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14:paraId="0D3F96B8"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DEBT TO EQUITY RATIO</w:t>
            </w:r>
          </w:p>
        </w:tc>
        <w:tc>
          <w:tcPr>
            <w:tcW w:w="1280" w:type="dxa"/>
            <w:tcBorders>
              <w:top w:val="nil"/>
              <w:left w:val="nil"/>
              <w:bottom w:val="single" w:sz="4" w:space="0" w:color="auto"/>
              <w:right w:val="single" w:sz="4" w:space="0" w:color="auto"/>
            </w:tcBorders>
            <w:shd w:val="clear" w:color="auto" w:fill="auto"/>
            <w:noWrap/>
            <w:vAlign w:val="bottom"/>
            <w:hideMark/>
          </w:tcPr>
          <w:p w14:paraId="5B85C2AB"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2.11608029</w:t>
            </w:r>
          </w:p>
        </w:tc>
        <w:tc>
          <w:tcPr>
            <w:tcW w:w="1280" w:type="dxa"/>
            <w:tcBorders>
              <w:top w:val="nil"/>
              <w:left w:val="nil"/>
              <w:bottom w:val="single" w:sz="4" w:space="0" w:color="auto"/>
              <w:right w:val="single" w:sz="4" w:space="0" w:color="auto"/>
            </w:tcBorders>
            <w:shd w:val="clear" w:color="auto" w:fill="auto"/>
            <w:noWrap/>
            <w:vAlign w:val="bottom"/>
            <w:hideMark/>
          </w:tcPr>
          <w:p w14:paraId="358A124F"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1.91324435</w:t>
            </w:r>
          </w:p>
        </w:tc>
        <w:tc>
          <w:tcPr>
            <w:tcW w:w="1387" w:type="dxa"/>
            <w:tcBorders>
              <w:top w:val="nil"/>
              <w:left w:val="nil"/>
              <w:bottom w:val="single" w:sz="4" w:space="0" w:color="auto"/>
              <w:right w:val="single" w:sz="4" w:space="0" w:color="auto"/>
            </w:tcBorders>
            <w:shd w:val="clear" w:color="auto" w:fill="auto"/>
            <w:noWrap/>
            <w:vAlign w:val="bottom"/>
            <w:hideMark/>
          </w:tcPr>
          <w:p w14:paraId="0CED21AA"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1.970114943</w:t>
            </w:r>
          </w:p>
        </w:tc>
        <w:tc>
          <w:tcPr>
            <w:tcW w:w="1027" w:type="dxa"/>
            <w:tcBorders>
              <w:top w:val="nil"/>
              <w:left w:val="nil"/>
              <w:bottom w:val="single" w:sz="4" w:space="0" w:color="auto"/>
              <w:right w:val="single" w:sz="4" w:space="0" w:color="auto"/>
            </w:tcBorders>
            <w:shd w:val="clear" w:color="auto" w:fill="auto"/>
            <w:noWrap/>
            <w:vAlign w:val="bottom"/>
            <w:hideMark/>
          </w:tcPr>
          <w:p w14:paraId="00313CBF"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2.278460007</w:t>
            </w:r>
          </w:p>
        </w:tc>
      </w:tr>
    </w:tbl>
    <w:p w14:paraId="2C2CCE5A" w14:textId="77777777" w:rsidR="008776E8" w:rsidRPr="008776E8" w:rsidRDefault="008776E8" w:rsidP="003065F5">
      <w:pPr>
        <w:jc w:val="both"/>
        <w:rPr>
          <w:rFonts w:ascii="Arial" w:hAnsi="Arial" w:cs="Arial"/>
        </w:rPr>
      </w:pPr>
    </w:p>
    <w:p w14:paraId="4DF515D5" w14:textId="77777777" w:rsidR="008776E8" w:rsidRPr="008776E8" w:rsidRDefault="008776E8" w:rsidP="003065F5">
      <w:pPr>
        <w:jc w:val="both"/>
        <w:rPr>
          <w:rFonts w:ascii="Arial" w:hAnsi="Arial" w:cs="Arial"/>
        </w:rPr>
      </w:pPr>
      <w:r w:rsidRPr="008776E8">
        <w:rPr>
          <w:rFonts w:ascii="Arial" w:hAnsi="Arial" w:cs="Arial"/>
        </w:rPr>
        <w:t xml:space="preserve"> </w:t>
      </w:r>
    </w:p>
    <w:p w14:paraId="6F155491" w14:textId="3DB48314" w:rsidR="008776E8" w:rsidRPr="008776E8" w:rsidRDefault="008776E8" w:rsidP="003065F5">
      <w:pPr>
        <w:jc w:val="both"/>
        <w:rPr>
          <w:rFonts w:ascii="Arial" w:hAnsi="Arial" w:cs="Arial"/>
        </w:rPr>
      </w:pPr>
      <w:r>
        <w:rPr>
          <w:noProof/>
        </w:rPr>
        <w:drawing>
          <wp:inline distT="0" distB="0" distL="0" distR="0" wp14:anchorId="51155F18" wp14:editId="288DFA4E">
            <wp:extent cx="4572000" cy="2743200"/>
            <wp:effectExtent l="0" t="0" r="0" b="0"/>
            <wp:docPr id="1105749169" name="Chart 1">
              <a:extLst xmlns:a="http://schemas.openxmlformats.org/drawingml/2006/main">
                <a:ext uri="{FF2B5EF4-FFF2-40B4-BE49-F238E27FC236}">
                  <a16:creationId xmlns:a16="http://schemas.microsoft.com/office/drawing/2014/main" id="{1D4D9AEE-680D-4F1A-C9B1-490F44B932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05A34D7" w14:textId="77777777" w:rsidR="008776E8" w:rsidRPr="008776E8" w:rsidRDefault="008776E8" w:rsidP="003065F5">
      <w:pPr>
        <w:jc w:val="both"/>
        <w:rPr>
          <w:rFonts w:ascii="Arial" w:hAnsi="Arial" w:cs="Arial"/>
        </w:rPr>
      </w:pPr>
      <w:r w:rsidRPr="008776E8">
        <w:rPr>
          <w:rFonts w:ascii="Arial" w:hAnsi="Arial" w:cs="Arial"/>
          <w:highlight w:val="red"/>
        </w:rPr>
        <w:t>AVERAGE DEBT TO EQUITY RATIO</w:t>
      </w:r>
      <w:r w:rsidRPr="008776E8">
        <w:rPr>
          <w:rFonts w:ascii="Arial" w:hAnsi="Arial" w:cs="Arial"/>
          <w:highlight w:val="red"/>
        </w:rPr>
        <w:tab/>
        <w:t>2.0694749</w:t>
      </w:r>
    </w:p>
    <w:p w14:paraId="0CD7ACB8" w14:textId="77777777" w:rsidR="008776E8" w:rsidRPr="008776E8" w:rsidRDefault="008776E8" w:rsidP="003065F5">
      <w:pPr>
        <w:jc w:val="both"/>
        <w:rPr>
          <w:rFonts w:ascii="Arial" w:hAnsi="Arial" w:cs="Arial"/>
        </w:rPr>
      </w:pPr>
      <w:r w:rsidRPr="00290947">
        <w:rPr>
          <w:rFonts w:ascii="Arial" w:hAnsi="Arial" w:cs="Arial"/>
        </w:rPr>
        <w:t>THE COMPANY'S DEBT TO EQUITY RATIO IS 2.06</w:t>
      </w:r>
      <w:r w:rsidRPr="008776E8">
        <w:rPr>
          <w:rFonts w:ascii="Arial" w:hAnsi="Arial" w:cs="Arial"/>
          <w:b/>
          <w:bCs/>
        </w:rPr>
        <w:t>,</w:t>
      </w:r>
      <w:r w:rsidRPr="008776E8">
        <w:rPr>
          <w:rFonts w:ascii="Arial" w:hAnsi="Arial" w:cs="Arial"/>
        </w:rPr>
        <w:t xml:space="preserve"> which means that the company has $2 of debt for every $1 of equity. It indicates a higher </w:t>
      </w:r>
      <w:r w:rsidRPr="00290947">
        <w:rPr>
          <w:rFonts w:ascii="Arial" w:hAnsi="Arial" w:cs="Arial"/>
          <w:u w:val="single"/>
        </w:rPr>
        <w:t>reliance on debt financing</w:t>
      </w:r>
      <w:r w:rsidRPr="008776E8">
        <w:rPr>
          <w:rFonts w:ascii="Arial" w:hAnsi="Arial" w:cs="Arial"/>
        </w:rPr>
        <w:t>.</w:t>
      </w:r>
    </w:p>
    <w:p w14:paraId="4909C039" w14:textId="77777777" w:rsidR="008776E8" w:rsidRPr="00290947" w:rsidRDefault="008776E8" w:rsidP="003065F5">
      <w:pPr>
        <w:jc w:val="both"/>
        <w:rPr>
          <w:rFonts w:ascii="Arial" w:hAnsi="Arial" w:cs="Arial"/>
          <w:b/>
          <w:bCs/>
        </w:rPr>
      </w:pPr>
      <w:r w:rsidRPr="00290947">
        <w:rPr>
          <w:rFonts w:ascii="Arial" w:hAnsi="Arial" w:cs="Arial"/>
          <w:b/>
          <w:bCs/>
        </w:rPr>
        <w:t>Q4. Revenue Growth: How has the company total revenue grown over the three years? What segments are driving this growth (merchandise sales, membership fees)?</w:t>
      </w:r>
    </w:p>
    <w:p w14:paraId="6F8E641F" w14:textId="77777777" w:rsidR="008776E8" w:rsidRPr="008776E8" w:rsidRDefault="008776E8" w:rsidP="003065F5">
      <w:pPr>
        <w:jc w:val="both"/>
        <w:rPr>
          <w:rFonts w:ascii="Arial" w:hAnsi="Arial" w:cs="Arial"/>
        </w:rPr>
      </w:pPr>
      <w:r w:rsidRPr="008776E8">
        <w:rPr>
          <w:rFonts w:ascii="Arial" w:hAnsi="Arial" w:cs="Arial"/>
        </w:rPr>
        <w:t xml:space="preserve"> </w:t>
      </w:r>
    </w:p>
    <w:tbl>
      <w:tblPr>
        <w:tblW w:w="6720" w:type="dxa"/>
        <w:tblLook w:val="04A0" w:firstRow="1" w:lastRow="0" w:firstColumn="1" w:lastColumn="0" w:noHBand="0" w:noVBand="1"/>
      </w:tblPr>
      <w:tblGrid>
        <w:gridCol w:w="2800"/>
        <w:gridCol w:w="1280"/>
        <w:gridCol w:w="1320"/>
        <w:gridCol w:w="1320"/>
      </w:tblGrid>
      <w:tr w:rsidR="008776E8" w:rsidRPr="003B280A" w14:paraId="1097870A" w14:textId="77777777" w:rsidTr="00EB2C18">
        <w:trPr>
          <w:trHeight w:val="285"/>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A3F053" w14:textId="77777777" w:rsidR="008776E8" w:rsidRPr="003B280A" w:rsidRDefault="008776E8" w:rsidP="003065F5">
            <w:pPr>
              <w:spacing w:after="0" w:line="240" w:lineRule="auto"/>
              <w:jc w:val="both"/>
              <w:rPr>
                <w:rFonts w:ascii="Calibri" w:eastAsia="Times New Roman" w:hAnsi="Calibri" w:cs="Calibri"/>
                <w:b/>
                <w:bCs/>
                <w:color w:val="000000"/>
                <w:kern w:val="0"/>
                <w:lang w:eastAsia="en-IN"/>
                <w14:ligatures w14:val="none"/>
              </w:rPr>
            </w:pP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60476BC1" w14:textId="77777777" w:rsidR="008776E8" w:rsidRPr="003B280A" w:rsidRDefault="008776E8" w:rsidP="003065F5">
            <w:pPr>
              <w:spacing w:after="0" w:line="240" w:lineRule="auto"/>
              <w:jc w:val="both"/>
              <w:rPr>
                <w:rFonts w:ascii="Calibri" w:eastAsia="Times New Roman" w:hAnsi="Calibri" w:cs="Calibri"/>
                <w:b/>
                <w:bCs/>
                <w:color w:val="000000"/>
                <w:kern w:val="0"/>
                <w:lang w:eastAsia="en-IN"/>
                <w14:ligatures w14:val="none"/>
              </w:rPr>
            </w:pPr>
            <w:r w:rsidRPr="003B280A">
              <w:rPr>
                <w:rFonts w:ascii="Calibri" w:eastAsia="Times New Roman" w:hAnsi="Calibri" w:cs="Calibri"/>
                <w:b/>
                <w:bCs/>
                <w:color w:val="000000"/>
                <w:kern w:val="0"/>
                <w:lang w:eastAsia="en-IN"/>
                <w14:ligatures w14:val="none"/>
              </w:rPr>
              <w:t>Sep. 01, 2019</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2EFDAF85" w14:textId="77777777" w:rsidR="008776E8" w:rsidRPr="003B280A" w:rsidRDefault="008776E8" w:rsidP="003065F5">
            <w:pPr>
              <w:spacing w:after="0" w:line="240" w:lineRule="auto"/>
              <w:jc w:val="both"/>
              <w:rPr>
                <w:rFonts w:ascii="Calibri" w:eastAsia="Times New Roman" w:hAnsi="Calibri" w:cs="Calibri"/>
                <w:b/>
                <w:bCs/>
                <w:color w:val="000000"/>
                <w:kern w:val="0"/>
                <w:lang w:eastAsia="en-IN"/>
                <w14:ligatures w14:val="none"/>
              </w:rPr>
            </w:pPr>
            <w:r w:rsidRPr="003B280A">
              <w:rPr>
                <w:rFonts w:ascii="Calibri" w:eastAsia="Times New Roman" w:hAnsi="Calibri" w:cs="Calibri"/>
                <w:b/>
                <w:bCs/>
                <w:color w:val="000000"/>
                <w:kern w:val="0"/>
                <w:lang w:eastAsia="en-IN"/>
                <w14:ligatures w14:val="none"/>
              </w:rPr>
              <w:t>Aug. 30, 2020</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55434414" w14:textId="77777777" w:rsidR="008776E8" w:rsidRPr="003B280A" w:rsidRDefault="008776E8" w:rsidP="003065F5">
            <w:pPr>
              <w:spacing w:after="0" w:line="240" w:lineRule="auto"/>
              <w:jc w:val="both"/>
              <w:rPr>
                <w:rFonts w:ascii="Calibri" w:eastAsia="Times New Roman" w:hAnsi="Calibri" w:cs="Calibri"/>
                <w:b/>
                <w:bCs/>
                <w:color w:val="000000"/>
                <w:kern w:val="0"/>
                <w:lang w:eastAsia="en-IN"/>
                <w14:ligatures w14:val="none"/>
              </w:rPr>
            </w:pPr>
            <w:r w:rsidRPr="003B280A">
              <w:rPr>
                <w:rFonts w:ascii="Calibri" w:eastAsia="Times New Roman" w:hAnsi="Calibri" w:cs="Calibri"/>
                <w:b/>
                <w:bCs/>
                <w:color w:val="000000"/>
                <w:kern w:val="0"/>
                <w:lang w:eastAsia="en-IN"/>
                <w14:ligatures w14:val="none"/>
              </w:rPr>
              <w:t>Aug. 29, 2021</w:t>
            </w:r>
          </w:p>
        </w:tc>
      </w:tr>
      <w:tr w:rsidR="008776E8" w:rsidRPr="003B280A" w14:paraId="60483F94" w14:textId="77777777" w:rsidTr="00EB2C18">
        <w:trPr>
          <w:trHeight w:val="285"/>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202440F5" w14:textId="77777777" w:rsidR="008776E8" w:rsidRPr="003B280A" w:rsidRDefault="008776E8" w:rsidP="003065F5">
            <w:pPr>
              <w:spacing w:after="0" w:line="240" w:lineRule="auto"/>
              <w:jc w:val="both"/>
              <w:rPr>
                <w:rFonts w:ascii="Calibri" w:eastAsia="Times New Roman" w:hAnsi="Calibri" w:cs="Calibri"/>
                <w:b/>
                <w:bCs/>
                <w:color w:val="000000"/>
                <w:kern w:val="0"/>
                <w:lang w:eastAsia="en-IN"/>
                <w14:ligatures w14:val="none"/>
              </w:rPr>
            </w:pPr>
            <w:r w:rsidRPr="003B280A">
              <w:rPr>
                <w:rFonts w:ascii="Calibri" w:eastAsia="Times New Roman" w:hAnsi="Calibri" w:cs="Calibri"/>
                <w:b/>
                <w:bCs/>
                <w:color w:val="000000"/>
                <w:kern w:val="0"/>
                <w:lang w:eastAsia="en-IN"/>
                <w14:ligatures w14:val="none"/>
              </w:rPr>
              <w:t>Merchandise Sales Revenue</w:t>
            </w:r>
          </w:p>
        </w:tc>
        <w:tc>
          <w:tcPr>
            <w:tcW w:w="1280" w:type="dxa"/>
            <w:tcBorders>
              <w:top w:val="nil"/>
              <w:left w:val="nil"/>
              <w:bottom w:val="single" w:sz="4" w:space="0" w:color="auto"/>
              <w:right w:val="single" w:sz="4" w:space="0" w:color="auto"/>
            </w:tcBorders>
            <w:shd w:val="clear" w:color="auto" w:fill="auto"/>
            <w:noWrap/>
            <w:vAlign w:val="bottom"/>
            <w:hideMark/>
          </w:tcPr>
          <w:p w14:paraId="29DCC4EE"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1,49,351</w:t>
            </w:r>
          </w:p>
        </w:tc>
        <w:tc>
          <w:tcPr>
            <w:tcW w:w="1320" w:type="dxa"/>
            <w:tcBorders>
              <w:top w:val="nil"/>
              <w:left w:val="nil"/>
              <w:bottom w:val="single" w:sz="4" w:space="0" w:color="auto"/>
              <w:right w:val="single" w:sz="4" w:space="0" w:color="auto"/>
            </w:tcBorders>
            <w:shd w:val="clear" w:color="auto" w:fill="auto"/>
            <w:noWrap/>
            <w:vAlign w:val="bottom"/>
            <w:hideMark/>
          </w:tcPr>
          <w:p w14:paraId="157BB4B5"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1,63,220</w:t>
            </w:r>
          </w:p>
        </w:tc>
        <w:tc>
          <w:tcPr>
            <w:tcW w:w="1320" w:type="dxa"/>
            <w:tcBorders>
              <w:top w:val="nil"/>
              <w:left w:val="nil"/>
              <w:bottom w:val="single" w:sz="4" w:space="0" w:color="auto"/>
              <w:right w:val="single" w:sz="4" w:space="0" w:color="auto"/>
            </w:tcBorders>
            <w:shd w:val="clear" w:color="auto" w:fill="auto"/>
            <w:noWrap/>
            <w:vAlign w:val="bottom"/>
            <w:hideMark/>
          </w:tcPr>
          <w:p w14:paraId="45D039DA"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1,92,052</w:t>
            </w:r>
          </w:p>
        </w:tc>
      </w:tr>
      <w:tr w:rsidR="008776E8" w:rsidRPr="003B280A" w14:paraId="3385A26A" w14:textId="77777777" w:rsidTr="00EB2C18">
        <w:trPr>
          <w:trHeight w:val="285"/>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4EBBF35F" w14:textId="77777777" w:rsidR="008776E8" w:rsidRPr="003B280A" w:rsidRDefault="008776E8" w:rsidP="003065F5">
            <w:pPr>
              <w:spacing w:after="0" w:line="240" w:lineRule="auto"/>
              <w:jc w:val="both"/>
              <w:rPr>
                <w:rFonts w:ascii="Calibri" w:eastAsia="Times New Roman" w:hAnsi="Calibri" w:cs="Calibri"/>
                <w:b/>
                <w:bCs/>
                <w:color w:val="000000"/>
                <w:kern w:val="0"/>
                <w:lang w:eastAsia="en-IN"/>
                <w14:ligatures w14:val="none"/>
              </w:rPr>
            </w:pPr>
            <w:r w:rsidRPr="003B280A">
              <w:rPr>
                <w:rFonts w:ascii="Calibri" w:eastAsia="Times New Roman" w:hAnsi="Calibri" w:cs="Calibri"/>
                <w:b/>
                <w:bCs/>
                <w:color w:val="000000"/>
                <w:kern w:val="0"/>
                <w:lang w:eastAsia="en-IN"/>
                <w14:ligatures w14:val="none"/>
              </w:rPr>
              <w:t>Membership Fee Revenue</w:t>
            </w:r>
          </w:p>
        </w:tc>
        <w:tc>
          <w:tcPr>
            <w:tcW w:w="1280" w:type="dxa"/>
            <w:tcBorders>
              <w:top w:val="nil"/>
              <w:left w:val="nil"/>
              <w:bottom w:val="single" w:sz="4" w:space="0" w:color="auto"/>
              <w:right w:val="single" w:sz="4" w:space="0" w:color="auto"/>
            </w:tcBorders>
            <w:shd w:val="clear" w:color="auto" w:fill="auto"/>
            <w:noWrap/>
            <w:vAlign w:val="bottom"/>
            <w:hideMark/>
          </w:tcPr>
          <w:p w14:paraId="1B745EDA"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3,352</w:t>
            </w:r>
          </w:p>
        </w:tc>
        <w:tc>
          <w:tcPr>
            <w:tcW w:w="1320" w:type="dxa"/>
            <w:tcBorders>
              <w:top w:val="nil"/>
              <w:left w:val="nil"/>
              <w:bottom w:val="single" w:sz="4" w:space="0" w:color="auto"/>
              <w:right w:val="single" w:sz="4" w:space="0" w:color="auto"/>
            </w:tcBorders>
            <w:shd w:val="clear" w:color="auto" w:fill="auto"/>
            <w:noWrap/>
            <w:vAlign w:val="bottom"/>
            <w:hideMark/>
          </w:tcPr>
          <w:p w14:paraId="5A6794C8"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3,541</w:t>
            </w:r>
          </w:p>
        </w:tc>
        <w:tc>
          <w:tcPr>
            <w:tcW w:w="1320" w:type="dxa"/>
            <w:tcBorders>
              <w:top w:val="nil"/>
              <w:left w:val="nil"/>
              <w:bottom w:val="single" w:sz="4" w:space="0" w:color="auto"/>
              <w:right w:val="single" w:sz="4" w:space="0" w:color="auto"/>
            </w:tcBorders>
            <w:shd w:val="clear" w:color="auto" w:fill="auto"/>
            <w:noWrap/>
            <w:vAlign w:val="bottom"/>
            <w:hideMark/>
          </w:tcPr>
          <w:p w14:paraId="52C3905A"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3,877</w:t>
            </w:r>
          </w:p>
        </w:tc>
      </w:tr>
      <w:tr w:rsidR="008776E8" w:rsidRPr="003B280A" w14:paraId="22895DFC" w14:textId="77777777" w:rsidTr="00EB2C18">
        <w:trPr>
          <w:trHeight w:val="285"/>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28B48E8E" w14:textId="77777777" w:rsidR="008776E8" w:rsidRPr="003B280A" w:rsidRDefault="008776E8" w:rsidP="003065F5">
            <w:pPr>
              <w:spacing w:after="0" w:line="240" w:lineRule="auto"/>
              <w:jc w:val="both"/>
              <w:rPr>
                <w:rFonts w:ascii="Calibri" w:eastAsia="Times New Roman" w:hAnsi="Calibri" w:cs="Calibri"/>
                <w:b/>
                <w:bCs/>
                <w:color w:val="000000"/>
                <w:kern w:val="0"/>
                <w:lang w:eastAsia="en-IN"/>
                <w14:ligatures w14:val="none"/>
              </w:rPr>
            </w:pPr>
            <w:r w:rsidRPr="003B280A">
              <w:rPr>
                <w:rFonts w:ascii="Calibri" w:eastAsia="Times New Roman" w:hAnsi="Calibri" w:cs="Calibri"/>
                <w:b/>
                <w:bCs/>
                <w:color w:val="000000"/>
                <w:kern w:val="0"/>
                <w:lang w:eastAsia="en-IN"/>
                <w14:ligatures w14:val="none"/>
              </w:rPr>
              <w:t>Total revenue</w:t>
            </w:r>
          </w:p>
        </w:tc>
        <w:tc>
          <w:tcPr>
            <w:tcW w:w="1280" w:type="dxa"/>
            <w:tcBorders>
              <w:top w:val="nil"/>
              <w:left w:val="nil"/>
              <w:bottom w:val="single" w:sz="4" w:space="0" w:color="auto"/>
              <w:right w:val="single" w:sz="4" w:space="0" w:color="auto"/>
            </w:tcBorders>
            <w:shd w:val="clear" w:color="auto" w:fill="auto"/>
            <w:noWrap/>
            <w:vAlign w:val="bottom"/>
            <w:hideMark/>
          </w:tcPr>
          <w:p w14:paraId="31CDB374"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$1,52,703</w:t>
            </w:r>
          </w:p>
        </w:tc>
        <w:tc>
          <w:tcPr>
            <w:tcW w:w="1320" w:type="dxa"/>
            <w:tcBorders>
              <w:top w:val="nil"/>
              <w:left w:val="nil"/>
              <w:bottom w:val="single" w:sz="4" w:space="0" w:color="auto"/>
              <w:right w:val="single" w:sz="4" w:space="0" w:color="auto"/>
            </w:tcBorders>
            <w:shd w:val="clear" w:color="auto" w:fill="auto"/>
            <w:noWrap/>
            <w:vAlign w:val="bottom"/>
            <w:hideMark/>
          </w:tcPr>
          <w:p w14:paraId="3B6A4920"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$1,66,761</w:t>
            </w:r>
          </w:p>
        </w:tc>
        <w:tc>
          <w:tcPr>
            <w:tcW w:w="1320" w:type="dxa"/>
            <w:tcBorders>
              <w:top w:val="nil"/>
              <w:left w:val="nil"/>
              <w:bottom w:val="single" w:sz="4" w:space="0" w:color="auto"/>
              <w:right w:val="single" w:sz="4" w:space="0" w:color="auto"/>
            </w:tcBorders>
            <w:shd w:val="clear" w:color="auto" w:fill="auto"/>
            <w:noWrap/>
            <w:vAlign w:val="bottom"/>
            <w:hideMark/>
          </w:tcPr>
          <w:p w14:paraId="77841E3F"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$1,95,929</w:t>
            </w:r>
          </w:p>
        </w:tc>
      </w:tr>
      <w:tr w:rsidR="008776E8" w:rsidRPr="003B280A" w14:paraId="46795C0F" w14:textId="77777777" w:rsidTr="00EB2C18">
        <w:trPr>
          <w:trHeight w:val="285"/>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0AE75335" w14:textId="77777777" w:rsidR="008776E8" w:rsidRPr="003B280A" w:rsidRDefault="008776E8" w:rsidP="003065F5">
            <w:pPr>
              <w:spacing w:after="0" w:line="240" w:lineRule="auto"/>
              <w:jc w:val="both"/>
              <w:rPr>
                <w:rFonts w:ascii="Calibri" w:eastAsia="Times New Roman" w:hAnsi="Calibri" w:cs="Calibri"/>
                <w:b/>
                <w:bCs/>
                <w:color w:val="000000"/>
                <w:kern w:val="0"/>
                <w:lang w:eastAsia="en-IN"/>
                <w14:ligatures w14:val="none"/>
              </w:rPr>
            </w:pPr>
            <w:r w:rsidRPr="003B280A">
              <w:rPr>
                <w:rFonts w:ascii="Calibri" w:eastAsia="Times New Roman" w:hAnsi="Calibri" w:cs="Calibri"/>
                <w:b/>
                <w:bCs/>
                <w:color w:val="000000"/>
                <w:kern w:val="0"/>
                <w:lang w:eastAsia="en-IN"/>
                <w14:ligatures w14:val="none"/>
              </w:rPr>
              <w:t>Revenue Growth Rate</w:t>
            </w:r>
          </w:p>
        </w:tc>
        <w:tc>
          <w:tcPr>
            <w:tcW w:w="1280" w:type="dxa"/>
            <w:tcBorders>
              <w:top w:val="nil"/>
              <w:left w:val="nil"/>
              <w:bottom w:val="single" w:sz="4" w:space="0" w:color="auto"/>
              <w:right w:val="single" w:sz="4" w:space="0" w:color="auto"/>
            </w:tcBorders>
            <w:shd w:val="clear" w:color="auto" w:fill="auto"/>
            <w:noWrap/>
            <w:vAlign w:val="bottom"/>
            <w:hideMark/>
          </w:tcPr>
          <w:p w14:paraId="676FD6BE"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p>
        </w:tc>
        <w:tc>
          <w:tcPr>
            <w:tcW w:w="1320" w:type="dxa"/>
            <w:tcBorders>
              <w:top w:val="nil"/>
              <w:left w:val="nil"/>
              <w:bottom w:val="single" w:sz="4" w:space="0" w:color="auto"/>
              <w:right w:val="single" w:sz="4" w:space="0" w:color="auto"/>
            </w:tcBorders>
            <w:shd w:val="clear" w:color="auto" w:fill="auto"/>
            <w:noWrap/>
            <w:vAlign w:val="bottom"/>
            <w:hideMark/>
          </w:tcPr>
          <w:p w14:paraId="488E2398"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9.2%</w:t>
            </w:r>
          </w:p>
        </w:tc>
        <w:tc>
          <w:tcPr>
            <w:tcW w:w="1320" w:type="dxa"/>
            <w:tcBorders>
              <w:top w:val="nil"/>
              <w:left w:val="nil"/>
              <w:bottom w:val="single" w:sz="4" w:space="0" w:color="auto"/>
              <w:right w:val="single" w:sz="4" w:space="0" w:color="auto"/>
            </w:tcBorders>
            <w:shd w:val="clear" w:color="auto" w:fill="auto"/>
            <w:noWrap/>
            <w:vAlign w:val="bottom"/>
            <w:hideMark/>
          </w:tcPr>
          <w:p w14:paraId="0FF85FA1"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17.5%</w:t>
            </w:r>
          </w:p>
        </w:tc>
      </w:tr>
    </w:tbl>
    <w:p w14:paraId="6B7C07A7" w14:textId="206220BB" w:rsidR="008776E8" w:rsidRPr="008776E8" w:rsidRDefault="008776E8" w:rsidP="003065F5">
      <w:pPr>
        <w:jc w:val="both"/>
        <w:rPr>
          <w:rFonts w:ascii="Arial" w:hAnsi="Arial" w:cs="Arial"/>
        </w:rPr>
      </w:pPr>
    </w:p>
    <w:p w14:paraId="103E897B" w14:textId="5DAE7EF8" w:rsidR="008776E8" w:rsidRPr="008776E8" w:rsidRDefault="008776E8" w:rsidP="003065F5">
      <w:pPr>
        <w:jc w:val="both"/>
        <w:rPr>
          <w:rFonts w:ascii="Arial" w:hAnsi="Arial" w:cs="Arial"/>
        </w:rPr>
      </w:pPr>
      <w:r>
        <w:rPr>
          <w:noProof/>
        </w:rPr>
        <w:lastRenderedPageBreak/>
        <w:drawing>
          <wp:inline distT="0" distB="0" distL="0" distR="0" wp14:anchorId="0A49C9A3" wp14:editId="6891A20C">
            <wp:extent cx="5731510" cy="2676525"/>
            <wp:effectExtent l="0" t="0" r="2540" b="9525"/>
            <wp:docPr id="2109731713" name="Chart 1">
              <a:extLst xmlns:a="http://schemas.openxmlformats.org/drawingml/2006/main">
                <a:ext uri="{FF2B5EF4-FFF2-40B4-BE49-F238E27FC236}">
                  <a16:creationId xmlns:a16="http://schemas.microsoft.com/office/drawing/2014/main" id="{40A0C244-F4D6-BB0F-9BA3-BDECC55EBD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W w:w="4080" w:type="dxa"/>
        <w:tblLook w:val="04A0" w:firstRow="1" w:lastRow="0" w:firstColumn="1" w:lastColumn="0" w:noHBand="0" w:noVBand="1"/>
      </w:tblPr>
      <w:tblGrid>
        <w:gridCol w:w="2800"/>
        <w:gridCol w:w="1280"/>
      </w:tblGrid>
      <w:tr w:rsidR="008776E8" w:rsidRPr="003B280A" w14:paraId="18B47E0E" w14:textId="77777777" w:rsidTr="00EB2C18">
        <w:trPr>
          <w:trHeight w:val="570"/>
        </w:trPr>
        <w:tc>
          <w:tcPr>
            <w:tcW w:w="2800" w:type="dxa"/>
            <w:tcBorders>
              <w:top w:val="single" w:sz="4" w:space="0" w:color="auto"/>
              <w:left w:val="single" w:sz="4" w:space="0" w:color="auto"/>
              <w:bottom w:val="single" w:sz="4" w:space="0" w:color="auto"/>
              <w:right w:val="single" w:sz="4" w:space="0" w:color="auto"/>
            </w:tcBorders>
            <w:shd w:val="clear" w:color="000000" w:fill="F4B084"/>
            <w:vAlign w:val="bottom"/>
            <w:hideMark/>
          </w:tcPr>
          <w:p w14:paraId="08404A5F" w14:textId="77777777" w:rsidR="008776E8" w:rsidRPr="003B280A" w:rsidRDefault="008776E8" w:rsidP="003065F5">
            <w:pPr>
              <w:spacing w:after="0" w:line="240" w:lineRule="auto"/>
              <w:jc w:val="both"/>
              <w:rPr>
                <w:rFonts w:ascii="Calibri" w:eastAsia="Times New Roman" w:hAnsi="Calibri" w:cs="Calibri"/>
                <w:b/>
                <w:bCs/>
                <w:color w:val="000000"/>
                <w:kern w:val="0"/>
                <w:lang w:eastAsia="en-IN"/>
                <w14:ligatures w14:val="none"/>
              </w:rPr>
            </w:pPr>
            <w:r w:rsidRPr="003B280A">
              <w:rPr>
                <w:rFonts w:ascii="Calibri" w:eastAsia="Times New Roman" w:hAnsi="Calibri" w:cs="Calibri"/>
                <w:b/>
                <w:bCs/>
                <w:color w:val="000000"/>
                <w:kern w:val="0"/>
                <w:lang w:eastAsia="en-IN"/>
                <w14:ligatures w14:val="none"/>
              </w:rPr>
              <w:t>Average Revenue Growth rate over the three years</w:t>
            </w:r>
          </w:p>
        </w:tc>
        <w:tc>
          <w:tcPr>
            <w:tcW w:w="1280" w:type="dxa"/>
            <w:tcBorders>
              <w:top w:val="single" w:sz="4" w:space="0" w:color="auto"/>
              <w:left w:val="nil"/>
              <w:bottom w:val="single" w:sz="4" w:space="0" w:color="auto"/>
              <w:right w:val="single" w:sz="4" w:space="0" w:color="auto"/>
            </w:tcBorders>
            <w:shd w:val="clear" w:color="000000" w:fill="F4B084"/>
            <w:noWrap/>
            <w:vAlign w:val="bottom"/>
            <w:hideMark/>
          </w:tcPr>
          <w:p w14:paraId="2571C58D"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13.3%</w:t>
            </w:r>
          </w:p>
        </w:tc>
      </w:tr>
    </w:tbl>
    <w:p w14:paraId="03B6040E" w14:textId="77777777" w:rsidR="00290947" w:rsidRDefault="00290947" w:rsidP="003065F5">
      <w:pPr>
        <w:jc w:val="both"/>
        <w:rPr>
          <w:rFonts w:ascii="Arial" w:hAnsi="Arial" w:cs="Arial"/>
        </w:rPr>
      </w:pPr>
    </w:p>
    <w:p w14:paraId="3A3C4415" w14:textId="310E112F" w:rsidR="008776E8" w:rsidRPr="008776E8" w:rsidRDefault="008776E8" w:rsidP="003065F5">
      <w:pPr>
        <w:jc w:val="both"/>
        <w:rPr>
          <w:rFonts w:ascii="Arial" w:hAnsi="Arial" w:cs="Arial"/>
        </w:rPr>
      </w:pPr>
      <w:r w:rsidRPr="008776E8">
        <w:rPr>
          <w:rFonts w:ascii="Arial" w:hAnsi="Arial" w:cs="Arial"/>
        </w:rPr>
        <w:t>The Total revenue of the company over the three years has grown on an average 13.3%. The Merchandise Sales segment is driving this growth.</w:t>
      </w:r>
    </w:p>
    <w:p w14:paraId="350CA023" w14:textId="77777777" w:rsidR="008776E8" w:rsidRPr="00290947" w:rsidRDefault="008776E8" w:rsidP="003065F5">
      <w:pPr>
        <w:jc w:val="both"/>
        <w:rPr>
          <w:rFonts w:ascii="Arial" w:hAnsi="Arial" w:cs="Arial"/>
          <w:b/>
          <w:bCs/>
        </w:rPr>
      </w:pPr>
    </w:p>
    <w:p w14:paraId="406835A2" w14:textId="77777777" w:rsidR="008776E8" w:rsidRPr="00290947" w:rsidRDefault="008776E8" w:rsidP="003065F5">
      <w:pPr>
        <w:jc w:val="both"/>
        <w:rPr>
          <w:rFonts w:ascii="Arial" w:hAnsi="Arial" w:cs="Arial"/>
          <w:b/>
          <w:bCs/>
        </w:rPr>
      </w:pPr>
      <w:r w:rsidRPr="00290947">
        <w:rPr>
          <w:rFonts w:ascii="Arial" w:hAnsi="Arial" w:cs="Arial"/>
          <w:b/>
          <w:bCs/>
        </w:rPr>
        <w:t>Q5. Gross Margin: Calculate and compare the gross margin (consider total revenue and total expense) across the three years. Is the company able to maintain or improve its margins?</w:t>
      </w:r>
    </w:p>
    <w:p w14:paraId="78DE564C" w14:textId="77777777" w:rsidR="008776E8" w:rsidRPr="008776E8" w:rsidRDefault="008776E8" w:rsidP="003065F5">
      <w:pPr>
        <w:jc w:val="both"/>
        <w:rPr>
          <w:rFonts w:ascii="Arial" w:hAnsi="Arial" w:cs="Arial"/>
        </w:rPr>
      </w:pPr>
    </w:p>
    <w:tbl>
      <w:tblPr>
        <w:tblW w:w="6194" w:type="dxa"/>
        <w:tblLook w:val="04A0" w:firstRow="1" w:lastRow="0" w:firstColumn="1" w:lastColumn="0" w:noHBand="0" w:noVBand="1"/>
      </w:tblPr>
      <w:tblGrid>
        <w:gridCol w:w="1320"/>
        <w:gridCol w:w="2100"/>
        <w:gridCol w:w="1387"/>
        <w:gridCol w:w="1387"/>
      </w:tblGrid>
      <w:tr w:rsidR="008776E8" w:rsidRPr="003B280A" w14:paraId="3D57E4F3" w14:textId="77777777" w:rsidTr="00EB2C18">
        <w:trPr>
          <w:trHeight w:val="285"/>
        </w:trPr>
        <w:tc>
          <w:tcPr>
            <w:tcW w:w="1320" w:type="dxa"/>
            <w:tcBorders>
              <w:top w:val="single" w:sz="4" w:space="0" w:color="auto"/>
              <w:left w:val="single" w:sz="4" w:space="0" w:color="auto"/>
              <w:bottom w:val="single" w:sz="4" w:space="0" w:color="auto"/>
              <w:right w:val="single" w:sz="4" w:space="0" w:color="auto"/>
            </w:tcBorders>
            <w:shd w:val="clear" w:color="D9E2F3" w:fill="D9E2F3"/>
            <w:noWrap/>
            <w:vAlign w:val="bottom"/>
            <w:hideMark/>
          </w:tcPr>
          <w:p w14:paraId="6EC6F375" w14:textId="77777777" w:rsidR="008776E8" w:rsidRPr="003B280A" w:rsidRDefault="008776E8" w:rsidP="003065F5">
            <w:pPr>
              <w:spacing w:after="0" w:line="240" w:lineRule="auto"/>
              <w:jc w:val="both"/>
              <w:rPr>
                <w:rFonts w:ascii="Calibri" w:eastAsia="Times New Roman" w:hAnsi="Calibri" w:cs="Calibri"/>
                <w:b/>
                <w:bCs/>
                <w:color w:val="000000"/>
                <w:kern w:val="0"/>
                <w:lang w:eastAsia="en-IN"/>
                <w14:ligatures w14:val="none"/>
              </w:rPr>
            </w:pPr>
            <w:r w:rsidRPr="003B280A">
              <w:rPr>
                <w:rFonts w:ascii="Calibri" w:eastAsia="Times New Roman" w:hAnsi="Calibri" w:cs="Calibri"/>
                <w:b/>
                <w:bCs/>
                <w:color w:val="000000"/>
                <w:kern w:val="0"/>
                <w:lang w:eastAsia="en-IN"/>
                <w14:ligatures w14:val="none"/>
              </w:rPr>
              <w:t>Fiscal Year</w:t>
            </w:r>
          </w:p>
        </w:tc>
        <w:tc>
          <w:tcPr>
            <w:tcW w:w="2100" w:type="dxa"/>
            <w:tcBorders>
              <w:top w:val="single" w:sz="4" w:space="0" w:color="auto"/>
              <w:left w:val="nil"/>
              <w:bottom w:val="single" w:sz="4" w:space="0" w:color="auto"/>
              <w:right w:val="single" w:sz="4" w:space="0" w:color="auto"/>
            </w:tcBorders>
            <w:shd w:val="clear" w:color="D9E2F3" w:fill="D9E2F3"/>
            <w:noWrap/>
            <w:vAlign w:val="bottom"/>
            <w:hideMark/>
          </w:tcPr>
          <w:p w14:paraId="6176D300" w14:textId="77777777" w:rsidR="008776E8" w:rsidRPr="003B280A" w:rsidRDefault="008776E8" w:rsidP="003065F5">
            <w:pPr>
              <w:spacing w:after="0" w:line="240" w:lineRule="auto"/>
              <w:jc w:val="both"/>
              <w:rPr>
                <w:rFonts w:ascii="Calibri" w:eastAsia="Times New Roman" w:hAnsi="Calibri" w:cs="Calibri"/>
                <w:b/>
                <w:bCs/>
                <w:color w:val="000000"/>
                <w:kern w:val="0"/>
                <w:lang w:eastAsia="en-IN"/>
                <w14:ligatures w14:val="none"/>
              </w:rPr>
            </w:pPr>
            <w:r w:rsidRPr="003B280A">
              <w:rPr>
                <w:rFonts w:ascii="Calibri" w:eastAsia="Times New Roman" w:hAnsi="Calibri" w:cs="Calibri"/>
                <w:b/>
                <w:bCs/>
                <w:color w:val="000000"/>
                <w:kern w:val="0"/>
                <w:lang w:eastAsia="en-IN"/>
                <w14:ligatures w14:val="none"/>
              </w:rPr>
              <w:t>2019A</w:t>
            </w:r>
          </w:p>
        </w:tc>
        <w:tc>
          <w:tcPr>
            <w:tcW w:w="1387" w:type="dxa"/>
            <w:tcBorders>
              <w:top w:val="single" w:sz="4" w:space="0" w:color="auto"/>
              <w:left w:val="nil"/>
              <w:bottom w:val="single" w:sz="4" w:space="0" w:color="auto"/>
              <w:right w:val="single" w:sz="4" w:space="0" w:color="auto"/>
            </w:tcBorders>
            <w:shd w:val="clear" w:color="D9E2F3" w:fill="D9E2F3"/>
            <w:noWrap/>
            <w:vAlign w:val="bottom"/>
            <w:hideMark/>
          </w:tcPr>
          <w:p w14:paraId="26899ED0" w14:textId="77777777" w:rsidR="008776E8" w:rsidRPr="003B280A" w:rsidRDefault="008776E8" w:rsidP="003065F5">
            <w:pPr>
              <w:spacing w:after="0" w:line="240" w:lineRule="auto"/>
              <w:jc w:val="both"/>
              <w:rPr>
                <w:rFonts w:ascii="Calibri" w:eastAsia="Times New Roman" w:hAnsi="Calibri" w:cs="Calibri"/>
                <w:b/>
                <w:bCs/>
                <w:color w:val="000000"/>
                <w:kern w:val="0"/>
                <w:lang w:eastAsia="en-IN"/>
                <w14:ligatures w14:val="none"/>
              </w:rPr>
            </w:pPr>
            <w:r w:rsidRPr="003B280A">
              <w:rPr>
                <w:rFonts w:ascii="Calibri" w:eastAsia="Times New Roman" w:hAnsi="Calibri" w:cs="Calibri"/>
                <w:b/>
                <w:bCs/>
                <w:color w:val="000000"/>
                <w:kern w:val="0"/>
                <w:lang w:eastAsia="en-IN"/>
                <w14:ligatures w14:val="none"/>
              </w:rPr>
              <w:t>2020A</w:t>
            </w:r>
          </w:p>
        </w:tc>
        <w:tc>
          <w:tcPr>
            <w:tcW w:w="1387" w:type="dxa"/>
            <w:tcBorders>
              <w:top w:val="single" w:sz="4" w:space="0" w:color="auto"/>
              <w:left w:val="nil"/>
              <w:bottom w:val="single" w:sz="4" w:space="0" w:color="auto"/>
              <w:right w:val="single" w:sz="4" w:space="0" w:color="auto"/>
            </w:tcBorders>
            <w:shd w:val="clear" w:color="D9E2F3" w:fill="D9E2F3"/>
            <w:noWrap/>
            <w:vAlign w:val="bottom"/>
            <w:hideMark/>
          </w:tcPr>
          <w:p w14:paraId="089E560D" w14:textId="77777777" w:rsidR="008776E8" w:rsidRPr="003B280A" w:rsidRDefault="008776E8" w:rsidP="003065F5">
            <w:pPr>
              <w:spacing w:after="0" w:line="240" w:lineRule="auto"/>
              <w:jc w:val="both"/>
              <w:rPr>
                <w:rFonts w:ascii="Calibri" w:eastAsia="Times New Roman" w:hAnsi="Calibri" w:cs="Calibri"/>
                <w:b/>
                <w:bCs/>
                <w:color w:val="000000"/>
                <w:kern w:val="0"/>
                <w:lang w:eastAsia="en-IN"/>
                <w14:ligatures w14:val="none"/>
              </w:rPr>
            </w:pPr>
            <w:r w:rsidRPr="003B280A">
              <w:rPr>
                <w:rFonts w:ascii="Calibri" w:eastAsia="Times New Roman" w:hAnsi="Calibri" w:cs="Calibri"/>
                <w:b/>
                <w:bCs/>
                <w:color w:val="000000"/>
                <w:kern w:val="0"/>
                <w:lang w:eastAsia="en-IN"/>
                <w14:ligatures w14:val="none"/>
              </w:rPr>
              <w:t>2021A</w:t>
            </w:r>
          </w:p>
        </w:tc>
      </w:tr>
      <w:tr w:rsidR="008776E8" w:rsidRPr="003B280A" w14:paraId="0341930D" w14:textId="77777777" w:rsidTr="00EB2C18">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FF708E7"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Revenue</w:t>
            </w:r>
          </w:p>
        </w:tc>
        <w:tc>
          <w:tcPr>
            <w:tcW w:w="2100" w:type="dxa"/>
            <w:tcBorders>
              <w:top w:val="nil"/>
              <w:left w:val="nil"/>
              <w:bottom w:val="single" w:sz="4" w:space="0" w:color="auto"/>
              <w:right w:val="single" w:sz="4" w:space="0" w:color="auto"/>
            </w:tcBorders>
            <w:shd w:val="clear" w:color="auto" w:fill="auto"/>
            <w:noWrap/>
            <w:vAlign w:val="bottom"/>
            <w:hideMark/>
          </w:tcPr>
          <w:p w14:paraId="731D82D2"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1,52,703</w:t>
            </w:r>
          </w:p>
        </w:tc>
        <w:tc>
          <w:tcPr>
            <w:tcW w:w="1387" w:type="dxa"/>
            <w:tcBorders>
              <w:top w:val="nil"/>
              <w:left w:val="nil"/>
              <w:bottom w:val="single" w:sz="4" w:space="0" w:color="auto"/>
              <w:right w:val="single" w:sz="4" w:space="0" w:color="auto"/>
            </w:tcBorders>
            <w:shd w:val="clear" w:color="auto" w:fill="auto"/>
            <w:noWrap/>
            <w:vAlign w:val="bottom"/>
            <w:hideMark/>
          </w:tcPr>
          <w:p w14:paraId="4E30AAB3"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1,66,761</w:t>
            </w:r>
          </w:p>
        </w:tc>
        <w:tc>
          <w:tcPr>
            <w:tcW w:w="1387" w:type="dxa"/>
            <w:tcBorders>
              <w:top w:val="nil"/>
              <w:left w:val="nil"/>
              <w:bottom w:val="single" w:sz="4" w:space="0" w:color="auto"/>
              <w:right w:val="single" w:sz="4" w:space="0" w:color="auto"/>
            </w:tcBorders>
            <w:shd w:val="clear" w:color="auto" w:fill="auto"/>
            <w:noWrap/>
            <w:vAlign w:val="bottom"/>
            <w:hideMark/>
          </w:tcPr>
          <w:p w14:paraId="3C116AF8"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1,95,929</w:t>
            </w:r>
          </w:p>
        </w:tc>
      </w:tr>
      <w:tr w:rsidR="008776E8" w:rsidRPr="003B280A" w14:paraId="65614F36" w14:textId="77777777" w:rsidTr="00EB2C18">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05B2FCDE"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COGS</w:t>
            </w:r>
          </w:p>
        </w:tc>
        <w:tc>
          <w:tcPr>
            <w:tcW w:w="2100" w:type="dxa"/>
            <w:tcBorders>
              <w:top w:val="nil"/>
              <w:left w:val="nil"/>
              <w:bottom w:val="single" w:sz="4" w:space="0" w:color="auto"/>
              <w:right w:val="single" w:sz="4" w:space="0" w:color="auto"/>
            </w:tcBorders>
            <w:shd w:val="clear" w:color="auto" w:fill="auto"/>
            <w:noWrap/>
            <w:vAlign w:val="bottom"/>
            <w:hideMark/>
          </w:tcPr>
          <w:p w14:paraId="3E9B8B65"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1,32,886</w:t>
            </w:r>
          </w:p>
        </w:tc>
        <w:tc>
          <w:tcPr>
            <w:tcW w:w="1387" w:type="dxa"/>
            <w:tcBorders>
              <w:top w:val="nil"/>
              <w:left w:val="nil"/>
              <w:bottom w:val="single" w:sz="4" w:space="0" w:color="auto"/>
              <w:right w:val="single" w:sz="4" w:space="0" w:color="auto"/>
            </w:tcBorders>
            <w:shd w:val="clear" w:color="auto" w:fill="auto"/>
            <w:noWrap/>
            <w:vAlign w:val="bottom"/>
            <w:hideMark/>
          </w:tcPr>
          <w:p w14:paraId="703F7BBE"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1,44,939</w:t>
            </w:r>
          </w:p>
        </w:tc>
        <w:tc>
          <w:tcPr>
            <w:tcW w:w="1387" w:type="dxa"/>
            <w:tcBorders>
              <w:top w:val="nil"/>
              <w:left w:val="nil"/>
              <w:bottom w:val="single" w:sz="4" w:space="0" w:color="auto"/>
              <w:right w:val="single" w:sz="4" w:space="0" w:color="auto"/>
            </w:tcBorders>
            <w:shd w:val="clear" w:color="auto" w:fill="auto"/>
            <w:noWrap/>
            <w:vAlign w:val="bottom"/>
            <w:hideMark/>
          </w:tcPr>
          <w:p w14:paraId="4E7B25AD"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1,70,684</w:t>
            </w:r>
          </w:p>
        </w:tc>
      </w:tr>
      <w:tr w:rsidR="008776E8" w:rsidRPr="003B280A" w14:paraId="74559361" w14:textId="77777777" w:rsidTr="00EB2C18">
        <w:trPr>
          <w:trHeight w:val="285"/>
        </w:trPr>
        <w:tc>
          <w:tcPr>
            <w:tcW w:w="1320" w:type="dxa"/>
            <w:tcBorders>
              <w:top w:val="nil"/>
              <w:left w:val="single" w:sz="4" w:space="0" w:color="auto"/>
              <w:bottom w:val="single" w:sz="4" w:space="0" w:color="auto"/>
              <w:right w:val="single" w:sz="4" w:space="0" w:color="auto"/>
            </w:tcBorders>
            <w:shd w:val="clear" w:color="000000" w:fill="F4B084"/>
            <w:noWrap/>
            <w:vAlign w:val="bottom"/>
            <w:hideMark/>
          </w:tcPr>
          <w:p w14:paraId="6128C400"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Gross Margin</w:t>
            </w:r>
          </w:p>
        </w:tc>
        <w:tc>
          <w:tcPr>
            <w:tcW w:w="2100" w:type="dxa"/>
            <w:tcBorders>
              <w:top w:val="nil"/>
              <w:left w:val="nil"/>
              <w:bottom w:val="single" w:sz="4" w:space="0" w:color="auto"/>
              <w:right w:val="single" w:sz="4" w:space="0" w:color="auto"/>
            </w:tcBorders>
            <w:shd w:val="clear" w:color="000000" w:fill="F4B084"/>
            <w:noWrap/>
            <w:vAlign w:val="bottom"/>
            <w:hideMark/>
          </w:tcPr>
          <w:p w14:paraId="73F417BA"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12.97747916</w:t>
            </w:r>
          </w:p>
        </w:tc>
        <w:tc>
          <w:tcPr>
            <w:tcW w:w="1387" w:type="dxa"/>
            <w:tcBorders>
              <w:top w:val="nil"/>
              <w:left w:val="nil"/>
              <w:bottom w:val="single" w:sz="4" w:space="0" w:color="auto"/>
              <w:right w:val="single" w:sz="4" w:space="0" w:color="auto"/>
            </w:tcBorders>
            <w:shd w:val="clear" w:color="000000" w:fill="F4B084"/>
            <w:noWrap/>
            <w:vAlign w:val="bottom"/>
            <w:hideMark/>
          </w:tcPr>
          <w:p w14:paraId="763F31B4"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13.08579344</w:t>
            </w:r>
          </w:p>
        </w:tc>
        <w:tc>
          <w:tcPr>
            <w:tcW w:w="1387" w:type="dxa"/>
            <w:tcBorders>
              <w:top w:val="nil"/>
              <w:left w:val="nil"/>
              <w:bottom w:val="single" w:sz="4" w:space="0" w:color="auto"/>
              <w:right w:val="single" w:sz="4" w:space="0" w:color="auto"/>
            </w:tcBorders>
            <w:shd w:val="clear" w:color="000000" w:fill="F4B084"/>
            <w:noWrap/>
            <w:vAlign w:val="bottom"/>
            <w:hideMark/>
          </w:tcPr>
          <w:p w14:paraId="7162BF66" w14:textId="77777777" w:rsidR="008776E8" w:rsidRPr="003B280A" w:rsidRDefault="008776E8" w:rsidP="003065F5">
            <w:pPr>
              <w:spacing w:after="0" w:line="240" w:lineRule="auto"/>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12.88476948</w:t>
            </w:r>
          </w:p>
        </w:tc>
      </w:tr>
    </w:tbl>
    <w:p w14:paraId="6ECEF9CA" w14:textId="1203DCAA" w:rsidR="008776E8" w:rsidRDefault="008776E8" w:rsidP="003065F5">
      <w:pPr>
        <w:jc w:val="both"/>
        <w:rPr>
          <w:rFonts w:ascii="Arial" w:hAnsi="Arial" w:cs="Arial"/>
        </w:rPr>
      </w:pPr>
    </w:p>
    <w:p w14:paraId="4821B952" w14:textId="50CF6C69" w:rsidR="008776E8" w:rsidRPr="008776E8" w:rsidRDefault="008776E8" w:rsidP="003065F5">
      <w:pPr>
        <w:jc w:val="both"/>
        <w:rPr>
          <w:rFonts w:ascii="Arial" w:hAnsi="Arial" w:cs="Arial"/>
        </w:rPr>
      </w:pPr>
      <w:r>
        <w:rPr>
          <w:noProof/>
        </w:rPr>
        <w:lastRenderedPageBreak/>
        <w:drawing>
          <wp:inline distT="0" distB="0" distL="0" distR="0" wp14:anchorId="407EC805" wp14:editId="4D92B06A">
            <wp:extent cx="5350670" cy="3533775"/>
            <wp:effectExtent l="0" t="0" r="2540" b="9525"/>
            <wp:docPr id="432708706" name="Chart 1">
              <a:extLst xmlns:a="http://schemas.openxmlformats.org/drawingml/2006/main">
                <a:ext uri="{FF2B5EF4-FFF2-40B4-BE49-F238E27FC236}">
                  <a16:creationId xmlns:a16="http://schemas.microsoft.com/office/drawing/2014/main" id="{B4B3F458-F395-BFEC-70AB-508532C81F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551A981" w14:textId="77777777" w:rsidR="008776E8" w:rsidRPr="008776E8" w:rsidRDefault="008776E8" w:rsidP="003065F5">
      <w:pPr>
        <w:jc w:val="both"/>
        <w:rPr>
          <w:rFonts w:ascii="Arial" w:hAnsi="Arial" w:cs="Arial"/>
        </w:rPr>
      </w:pPr>
    </w:p>
    <w:tbl>
      <w:tblPr>
        <w:tblW w:w="3420" w:type="dxa"/>
        <w:tblLook w:val="04A0" w:firstRow="1" w:lastRow="0" w:firstColumn="1" w:lastColumn="0" w:noHBand="0" w:noVBand="1"/>
      </w:tblPr>
      <w:tblGrid>
        <w:gridCol w:w="2100"/>
        <w:gridCol w:w="1390"/>
      </w:tblGrid>
      <w:tr w:rsidR="008776E8" w:rsidRPr="003B280A" w14:paraId="122D61FF" w14:textId="77777777" w:rsidTr="00EB2C18">
        <w:trPr>
          <w:trHeight w:val="285"/>
        </w:trPr>
        <w:tc>
          <w:tcPr>
            <w:tcW w:w="21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51AA22E5" w14:textId="77777777" w:rsidR="008776E8" w:rsidRPr="003B280A" w:rsidRDefault="008776E8" w:rsidP="003065F5">
            <w:pPr>
              <w:spacing w:after="0" w:line="240" w:lineRule="auto"/>
              <w:jc w:val="both"/>
              <w:rPr>
                <w:rFonts w:ascii="Calibri" w:eastAsia="Times New Roman" w:hAnsi="Calibri" w:cs="Calibri"/>
                <w:b/>
                <w:bCs/>
                <w:color w:val="000000"/>
                <w:kern w:val="0"/>
                <w:lang w:eastAsia="en-IN"/>
                <w14:ligatures w14:val="none"/>
              </w:rPr>
            </w:pPr>
            <w:r w:rsidRPr="003B280A">
              <w:rPr>
                <w:rFonts w:ascii="Calibri" w:eastAsia="Times New Roman" w:hAnsi="Calibri" w:cs="Calibri"/>
                <w:b/>
                <w:bCs/>
                <w:color w:val="000000"/>
                <w:kern w:val="0"/>
                <w:lang w:eastAsia="en-IN"/>
                <w14:ligatures w14:val="none"/>
              </w:rPr>
              <w:t>Average Gross Margin</w:t>
            </w:r>
          </w:p>
        </w:tc>
        <w:tc>
          <w:tcPr>
            <w:tcW w:w="1320" w:type="dxa"/>
            <w:tcBorders>
              <w:top w:val="single" w:sz="4" w:space="0" w:color="auto"/>
              <w:left w:val="nil"/>
              <w:bottom w:val="single" w:sz="4" w:space="0" w:color="auto"/>
              <w:right w:val="single" w:sz="4" w:space="0" w:color="auto"/>
            </w:tcBorders>
            <w:shd w:val="clear" w:color="000000" w:fill="F4B084"/>
            <w:noWrap/>
            <w:vAlign w:val="bottom"/>
            <w:hideMark/>
          </w:tcPr>
          <w:p w14:paraId="07097DD7" w14:textId="77777777" w:rsidR="008776E8" w:rsidRPr="003B280A" w:rsidRDefault="008776E8" w:rsidP="003065F5">
            <w:pPr>
              <w:spacing w:after="0" w:line="240" w:lineRule="auto"/>
              <w:jc w:val="both"/>
              <w:rPr>
                <w:rFonts w:ascii="Calibri" w:eastAsia="Times New Roman" w:hAnsi="Calibri" w:cs="Calibri"/>
                <w:b/>
                <w:bCs/>
                <w:color w:val="000000"/>
                <w:kern w:val="0"/>
                <w:lang w:eastAsia="en-IN"/>
                <w14:ligatures w14:val="none"/>
              </w:rPr>
            </w:pPr>
            <w:r w:rsidRPr="003B280A">
              <w:rPr>
                <w:rFonts w:ascii="Calibri" w:eastAsia="Times New Roman" w:hAnsi="Calibri" w:cs="Calibri"/>
                <w:b/>
                <w:bCs/>
                <w:color w:val="000000"/>
                <w:kern w:val="0"/>
                <w:lang w:eastAsia="en-IN"/>
                <w14:ligatures w14:val="none"/>
              </w:rPr>
              <w:t>12.98268069</w:t>
            </w:r>
          </w:p>
        </w:tc>
      </w:tr>
    </w:tbl>
    <w:p w14:paraId="56F75B72" w14:textId="77777777" w:rsidR="008776E8" w:rsidRPr="008776E8" w:rsidRDefault="008776E8" w:rsidP="003065F5">
      <w:pPr>
        <w:jc w:val="both"/>
        <w:rPr>
          <w:rFonts w:ascii="Arial" w:hAnsi="Arial" w:cs="Arial"/>
        </w:rPr>
      </w:pPr>
    </w:p>
    <w:p w14:paraId="6A7C0C56" w14:textId="77777777" w:rsidR="008776E8" w:rsidRPr="008776E8" w:rsidRDefault="008776E8" w:rsidP="003065F5">
      <w:pPr>
        <w:jc w:val="both"/>
        <w:rPr>
          <w:rFonts w:ascii="Arial" w:hAnsi="Arial" w:cs="Arial"/>
        </w:rPr>
      </w:pPr>
      <w:r w:rsidRPr="008776E8">
        <w:rPr>
          <w:rFonts w:ascii="Arial" w:hAnsi="Arial" w:cs="Arial"/>
        </w:rPr>
        <w:t xml:space="preserve">The average gross margin of the company for the given 3 years is 12.98. Though the gross margin is fluctuating within a comfortable bandwidth, the COGS % in revenue increased in the recent year, which </w:t>
      </w:r>
      <w:r w:rsidRPr="003065F5">
        <w:rPr>
          <w:rFonts w:ascii="Arial" w:hAnsi="Arial" w:cs="Arial"/>
          <w:b/>
          <w:bCs/>
        </w:rPr>
        <w:t>decreased the Gross Margin to below average</w:t>
      </w:r>
      <w:r w:rsidRPr="008776E8">
        <w:rPr>
          <w:rFonts w:ascii="Arial" w:hAnsi="Arial" w:cs="Arial"/>
        </w:rPr>
        <w:t>.</w:t>
      </w:r>
    </w:p>
    <w:p w14:paraId="33F23CF9" w14:textId="77777777" w:rsidR="008776E8" w:rsidRPr="008776E8" w:rsidRDefault="008776E8" w:rsidP="003065F5">
      <w:pPr>
        <w:jc w:val="both"/>
        <w:rPr>
          <w:rFonts w:ascii="Arial" w:hAnsi="Arial" w:cs="Arial"/>
        </w:rPr>
      </w:pPr>
    </w:p>
    <w:p w14:paraId="6F19EE5A" w14:textId="77777777" w:rsidR="008776E8" w:rsidRPr="00290947" w:rsidRDefault="008776E8" w:rsidP="003065F5">
      <w:pPr>
        <w:jc w:val="both"/>
        <w:rPr>
          <w:rFonts w:ascii="Arial" w:hAnsi="Arial" w:cs="Arial"/>
          <w:b/>
          <w:bCs/>
        </w:rPr>
      </w:pPr>
      <w:r w:rsidRPr="00290947">
        <w:rPr>
          <w:rFonts w:ascii="Arial" w:hAnsi="Arial" w:cs="Arial"/>
          <w:b/>
          <w:bCs/>
        </w:rPr>
        <w:t>Q6. How can investors utilize free cash flow analysis to compare different companies in the same industry?</w:t>
      </w:r>
    </w:p>
    <w:tbl>
      <w:tblPr>
        <w:tblStyle w:val="TableGrid"/>
        <w:tblW w:w="0" w:type="auto"/>
        <w:tblInd w:w="846" w:type="dxa"/>
        <w:tblLook w:val="04A0" w:firstRow="1" w:lastRow="0" w:firstColumn="1" w:lastColumn="0" w:noHBand="0" w:noVBand="1"/>
      </w:tblPr>
      <w:tblGrid>
        <w:gridCol w:w="2126"/>
        <w:gridCol w:w="1701"/>
        <w:gridCol w:w="1843"/>
        <w:gridCol w:w="2420"/>
      </w:tblGrid>
      <w:tr w:rsidR="008776E8" w14:paraId="228EE29D" w14:textId="77777777" w:rsidTr="008776E8">
        <w:tc>
          <w:tcPr>
            <w:tcW w:w="2126" w:type="dxa"/>
            <w:vAlign w:val="bottom"/>
          </w:tcPr>
          <w:p w14:paraId="546E6D67" w14:textId="5538BF1F" w:rsidR="008776E8" w:rsidRDefault="008776E8" w:rsidP="003065F5">
            <w:pPr>
              <w:jc w:val="both"/>
              <w:rPr>
                <w:rFonts w:ascii="Arial" w:hAnsi="Arial" w:cs="Arial"/>
              </w:rPr>
            </w:pPr>
            <w:r w:rsidRPr="003B280A">
              <w:rPr>
                <w:rFonts w:ascii="Calibri" w:eastAsia="Times New Roman" w:hAnsi="Calibri" w:cs="Calibri"/>
                <w:b/>
                <w:bCs/>
                <w:color w:val="000000"/>
                <w:kern w:val="0"/>
                <w:lang w:eastAsia="en-IN"/>
                <w14:ligatures w14:val="none"/>
              </w:rPr>
              <w:t>Fiscal Year</w:t>
            </w:r>
          </w:p>
        </w:tc>
        <w:tc>
          <w:tcPr>
            <w:tcW w:w="1701" w:type="dxa"/>
            <w:vAlign w:val="bottom"/>
          </w:tcPr>
          <w:p w14:paraId="2B67DAC4" w14:textId="7D08FB0C" w:rsidR="008776E8" w:rsidRDefault="008776E8" w:rsidP="003065F5">
            <w:pPr>
              <w:jc w:val="both"/>
              <w:rPr>
                <w:rFonts w:ascii="Arial" w:hAnsi="Arial" w:cs="Arial"/>
              </w:rPr>
            </w:pPr>
            <w:r w:rsidRPr="003B280A">
              <w:rPr>
                <w:rFonts w:ascii="Calibri" w:eastAsia="Times New Roman" w:hAnsi="Calibri" w:cs="Calibri"/>
                <w:b/>
                <w:bCs/>
                <w:color w:val="000000"/>
                <w:kern w:val="0"/>
                <w:lang w:eastAsia="en-IN"/>
                <w14:ligatures w14:val="none"/>
              </w:rPr>
              <w:t>2019A</w:t>
            </w:r>
          </w:p>
        </w:tc>
        <w:tc>
          <w:tcPr>
            <w:tcW w:w="1843" w:type="dxa"/>
            <w:vAlign w:val="bottom"/>
          </w:tcPr>
          <w:p w14:paraId="4A405C95" w14:textId="5C94060D" w:rsidR="008776E8" w:rsidRDefault="008776E8" w:rsidP="003065F5">
            <w:pPr>
              <w:jc w:val="both"/>
              <w:rPr>
                <w:rFonts w:ascii="Arial" w:hAnsi="Arial" w:cs="Arial"/>
              </w:rPr>
            </w:pPr>
            <w:r w:rsidRPr="003B280A">
              <w:rPr>
                <w:rFonts w:ascii="Calibri" w:eastAsia="Times New Roman" w:hAnsi="Calibri" w:cs="Calibri"/>
                <w:b/>
                <w:bCs/>
                <w:color w:val="000000"/>
                <w:kern w:val="0"/>
                <w:lang w:eastAsia="en-IN"/>
                <w14:ligatures w14:val="none"/>
              </w:rPr>
              <w:t>2020A</w:t>
            </w:r>
          </w:p>
        </w:tc>
        <w:tc>
          <w:tcPr>
            <w:tcW w:w="2420" w:type="dxa"/>
            <w:vAlign w:val="bottom"/>
          </w:tcPr>
          <w:p w14:paraId="222C8FA1" w14:textId="35B902F4" w:rsidR="008776E8" w:rsidRDefault="008776E8" w:rsidP="003065F5">
            <w:pPr>
              <w:jc w:val="both"/>
              <w:rPr>
                <w:rFonts w:ascii="Arial" w:hAnsi="Arial" w:cs="Arial"/>
              </w:rPr>
            </w:pPr>
            <w:r w:rsidRPr="003B280A">
              <w:rPr>
                <w:rFonts w:ascii="Calibri" w:eastAsia="Times New Roman" w:hAnsi="Calibri" w:cs="Calibri"/>
                <w:b/>
                <w:bCs/>
                <w:color w:val="000000"/>
                <w:kern w:val="0"/>
                <w:lang w:eastAsia="en-IN"/>
                <w14:ligatures w14:val="none"/>
              </w:rPr>
              <w:t>2021A</w:t>
            </w:r>
          </w:p>
        </w:tc>
      </w:tr>
      <w:tr w:rsidR="008776E8" w14:paraId="03EFFC27" w14:textId="77777777" w:rsidTr="008776E8">
        <w:tc>
          <w:tcPr>
            <w:tcW w:w="2126" w:type="dxa"/>
            <w:vAlign w:val="bottom"/>
          </w:tcPr>
          <w:p w14:paraId="5E9873AE" w14:textId="5073AFF9" w:rsidR="008776E8" w:rsidRDefault="008776E8" w:rsidP="003065F5">
            <w:pPr>
              <w:jc w:val="both"/>
              <w:rPr>
                <w:rFonts w:ascii="Arial" w:hAnsi="Arial" w:cs="Arial"/>
              </w:rPr>
            </w:pPr>
            <w:r w:rsidRPr="003B280A">
              <w:rPr>
                <w:rFonts w:ascii="Calibri" w:eastAsia="Times New Roman" w:hAnsi="Calibri" w:cs="Calibri"/>
                <w:color w:val="000000"/>
                <w:kern w:val="0"/>
                <w:lang w:eastAsia="en-IN"/>
                <w14:ligatures w14:val="none"/>
              </w:rPr>
              <w:t>Gross Profit</w:t>
            </w:r>
          </w:p>
        </w:tc>
        <w:tc>
          <w:tcPr>
            <w:tcW w:w="1701" w:type="dxa"/>
            <w:vAlign w:val="bottom"/>
          </w:tcPr>
          <w:p w14:paraId="199AC177" w14:textId="0132BF06" w:rsidR="008776E8" w:rsidRDefault="008776E8" w:rsidP="003065F5">
            <w:pPr>
              <w:jc w:val="both"/>
              <w:rPr>
                <w:rFonts w:ascii="Arial" w:hAnsi="Arial" w:cs="Arial"/>
              </w:rPr>
            </w:pPr>
            <w:r w:rsidRPr="003B280A">
              <w:rPr>
                <w:rFonts w:ascii="Calibri" w:eastAsia="Times New Roman" w:hAnsi="Calibri" w:cs="Calibri"/>
                <w:color w:val="000000"/>
                <w:kern w:val="0"/>
                <w:lang w:eastAsia="en-IN"/>
                <w14:ligatures w14:val="none"/>
              </w:rPr>
              <w:t>19817</w:t>
            </w:r>
          </w:p>
        </w:tc>
        <w:tc>
          <w:tcPr>
            <w:tcW w:w="1843" w:type="dxa"/>
            <w:vAlign w:val="bottom"/>
          </w:tcPr>
          <w:p w14:paraId="60FCB13E" w14:textId="12D6FB4F" w:rsidR="008776E8" w:rsidRDefault="008776E8" w:rsidP="003065F5">
            <w:pPr>
              <w:jc w:val="both"/>
              <w:rPr>
                <w:rFonts w:ascii="Arial" w:hAnsi="Arial" w:cs="Arial"/>
              </w:rPr>
            </w:pPr>
            <w:r w:rsidRPr="003B280A">
              <w:rPr>
                <w:rFonts w:ascii="Calibri" w:eastAsia="Times New Roman" w:hAnsi="Calibri" w:cs="Calibri"/>
                <w:color w:val="000000"/>
                <w:kern w:val="0"/>
                <w:lang w:eastAsia="en-IN"/>
                <w14:ligatures w14:val="none"/>
              </w:rPr>
              <w:t>21822</w:t>
            </w:r>
          </w:p>
        </w:tc>
        <w:tc>
          <w:tcPr>
            <w:tcW w:w="2420" w:type="dxa"/>
            <w:vAlign w:val="bottom"/>
          </w:tcPr>
          <w:p w14:paraId="59288E82" w14:textId="5C73CD08" w:rsidR="008776E8" w:rsidRDefault="008776E8" w:rsidP="003065F5">
            <w:pPr>
              <w:jc w:val="both"/>
              <w:rPr>
                <w:rFonts w:ascii="Arial" w:hAnsi="Arial" w:cs="Arial"/>
              </w:rPr>
            </w:pPr>
            <w:r w:rsidRPr="003B280A">
              <w:rPr>
                <w:rFonts w:ascii="Calibri" w:eastAsia="Times New Roman" w:hAnsi="Calibri" w:cs="Calibri"/>
                <w:color w:val="000000"/>
                <w:kern w:val="0"/>
                <w:lang w:eastAsia="en-IN"/>
                <w14:ligatures w14:val="none"/>
              </w:rPr>
              <w:t>25245</w:t>
            </w:r>
          </w:p>
        </w:tc>
      </w:tr>
      <w:tr w:rsidR="008776E8" w14:paraId="44BAA669" w14:textId="77777777" w:rsidTr="008776E8">
        <w:tc>
          <w:tcPr>
            <w:tcW w:w="2126" w:type="dxa"/>
            <w:vAlign w:val="bottom"/>
          </w:tcPr>
          <w:p w14:paraId="28A91F5D" w14:textId="6D87CC30" w:rsidR="008776E8" w:rsidRDefault="008776E8" w:rsidP="003065F5">
            <w:pPr>
              <w:jc w:val="both"/>
              <w:rPr>
                <w:rFonts w:ascii="Arial" w:hAnsi="Arial" w:cs="Arial"/>
              </w:rPr>
            </w:pPr>
            <w:r w:rsidRPr="003B280A">
              <w:rPr>
                <w:rFonts w:ascii="Calibri" w:eastAsia="Times New Roman" w:hAnsi="Calibri" w:cs="Calibri"/>
                <w:color w:val="000000"/>
                <w:kern w:val="0"/>
                <w:lang w:eastAsia="en-IN"/>
                <w14:ligatures w14:val="none"/>
              </w:rPr>
              <w:t>EBITDA</w:t>
            </w:r>
          </w:p>
        </w:tc>
        <w:tc>
          <w:tcPr>
            <w:tcW w:w="1701" w:type="dxa"/>
            <w:vAlign w:val="bottom"/>
          </w:tcPr>
          <w:p w14:paraId="7B24F94A" w14:textId="0DB14879" w:rsidR="008776E8" w:rsidRDefault="008776E8" w:rsidP="003065F5">
            <w:pPr>
              <w:jc w:val="both"/>
              <w:rPr>
                <w:rFonts w:ascii="Arial" w:hAnsi="Arial" w:cs="Arial"/>
              </w:rPr>
            </w:pPr>
            <w:r w:rsidRPr="003B280A">
              <w:rPr>
                <w:rFonts w:ascii="Calibri" w:eastAsia="Times New Roman" w:hAnsi="Calibri" w:cs="Calibri"/>
                <w:color w:val="000000"/>
                <w:kern w:val="0"/>
                <w:lang w:eastAsia="en-IN"/>
                <w14:ligatures w14:val="none"/>
              </w:rPr>
              <w:t>6229</w:t>
            </w:r>
          </w:p>
        </w:tc>
        <w:tc>
          <w:tcPr>
            <w:tcW w:w="1843" w:type="dxa"/>
            <w:vAlign w:val="bottom"/>
          </w:tcPr>
          <w:p w14:paraId="547C8929" w14:textId="65360752" w:rsidR="008776E8" w:rsidRDefault="008776E8" w:rsidP="003065F5">
            <w:pPr>
              <w:jc w:val="both"/>
              <w:rPr>
                <w:rFonts w:ascii="Arial" w:hAnsi="Arial" w:cs="Arial"/>
              </w:rPr>
            </w:pPr>
            <w:r w:rsidRPr="003B280A">
              <w:rPr>
                <w:rFonts w:ascii="Calibri" w:eastAsia="Times New Roman" w:hAnsi="Calibri" w:cs="Calibri"/>
                <w:color w:val="000000"/>
                <w:kern w:val="0"/>
                <w:lang w:eastAsia="en-IN"/>
                <w14:ligatures w14:val="none"/>
              </w:rPr>
              <w:t>7080</w:t>
            </w:r>
          </w:p>
        </w:tc>
        <w:tc>
          <w:tcPr>
            <w:tcW w:w="2420" w:type="dxa"/>
            <w:vAlign w:val="bottom"/>
          </w:tcPr>
          <w:p w14:paraId="48A6DEB5" w14:textId="64C3CBEC" w:rsidR="008776E8" w:rsidRDefault="008776E8" w:rsidP="003065F5">
            <w:pPr>
              <w:jc w:val="both"/>
              <w:rPr>
                <w:rFonts w:ascii="Arial" w:hAnsi="Arial" w:cs="Arial"/>
              </w:rPr>
            </w:pPr>
            <w:r w:rsidRPr="003B280A">
              <w:rPr>
                <w:rFonts w:ascii="Calibri" w:eastAsia="Times New Roman" w:hAnsi="Calibri" w:cs="Calibri"/>
                <w:color w:val="000000"/>
                <w:kern w:val="0"/>
                <w:lang w:eastAsia="en-IN"/>
                <w14:ligatures w14:val="none"/>
              </w:rPr>
              <w:t>8489</w:t>
            </w:r>
          </w:p>
        </w:tc>
      </w:tr>
      <w:tr w:rsidR="008776E8" w14:paraId="1CD8EC00" w14:textId="77777777" w:rsidTr="008776E8">
        <w:tc>
          <w:tcPr>
            <w:tcW w:w="2126" w:type="dxa"/>
            <w:vAlign w:val="bottom"/>
          </w:tcPr>
          <w:p w14:paraId="7C3AF1D6" w14:textId="1207C9D6" w:rsidR="008776E8" w:rsidRPr="003B280A" w:rsidRDefault="008776E8" w:rsidP="003065F5">
            <w:pPr>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Unlevered Free Cash Flow</w:t>
            </w:r>
          </w:p>
        </w:tc>
        <w:tc>
          <w:tcPr>
            <w:tcW w:w="1701" w:type="dxa"/>
            <w:vAlign w:val="bottom"/>
          </w:tcPr>
          <w:p w14:paraId="7C5C919B" w14:textId="4FD6D17C" w:rsidR="008776E8" w:rsidRPr="003B280A" w:rsidRDefault="008776E8" w:rsidP="003065F5">
            <w:pPr>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3158</w:t>
            </w:r>
          </w:p>
        </w:tc>
        <w:tc>
          <w:tcPr>
            <w:tcW w:w="1843" w:type="dxa"/>
            <w:vAlign w:val="bottom"/>
          </w:tcPr>
          <w:p w14:paraId="064AD2AF" w14:textId="7F2F6B78" w:rsidR="008776E8" w:rsidRPr="003B280A" w:rsidRDefault="008776E8" w:rsidP="003065F5">
            <w:pPr>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2859</w:t>
            </w:r>
          </w:p>
        </w:tc>
        <w:tc>
          <w:tcPr>
            <w:tcW w:w="2420" w:type="dxa"/>
            <w:vAlign w:val="bottom"/>
          </w:tcPr>
          <w:p w14:paraId="7F814249" w14:textId="593ACA3C" w:rsidR="008776E8" w:rsidRPr="003B280A" w:rsidRDefault="008776E8" w:rsidP="003065F5">
            <w:pPr>
              <w:jc w:val="both"/>
              <w:rPr>
                <w:rFonts w:ascii="Calibri" w:eastAsia="Times New Roman" w:hAnsi="Calibri" w:cs="Calibri"/>
                <w:color w:val="000000"/>
                <w:kern w:val="0"/>
                <w:lang w:eastAsia="en-IN"/>
                <w14:ligatures w14:val="none"/>
              </w:rPr>
            </w:pPr>
            <w:r w:rsidRPr="003B280A">
              <w:rPr>
                <w:rFonts w:ascii="Calibri" w:eastAsia="Times New Roman" w:hAnsi="Calibri" w:cs="Calibri"/>
                <w:color w:val="000000"/>
                <w:kern w:val="0"/>
                <w:lang w:eastAsia="en-IN"/>
                <w14:ligatures w14:val="none"/>
              </w:rPr>
              <w:t>4698</w:t>
            </w:r>
          </w:p>
        </w:tc>
      </w:tr>
    </w:tbl>
    <w:p w14:paraId="2C61252B" w14:textId="77777777" w:rsidR="008776E8" w:rsidRPr="008776E8" w:rsidRDefault="008776E8" w:rsidP="003065F5">
      <w:pPr>
        <w:jc w:val="both"/>
        <w:rPr>
          <w:rFonts w:ascii="Arial" w:hAnsi="Arial" w:cs="Arial"/>
        </w:rPr>
      </w:pPr>
      <w:r w:rsidRPr="008776E8">
        <w:rPr>
          <w:rFonts w:ascii="Arial" w:hAnsi="Arial" w:cs="Arial"/>
        </w:rPr>
        <w:t xml:space="preserve"> </w:t>
      </w:r>
    </w:p>
    <w:p w14:paraId="25DBA5B0" w14:textId="26FF6A4D" w:rsidR="008776E8" w:rsidRDefault="008776E8" w:rsidP="003065F5">
      <w:pPr>
        <w:jc w:val="both"/>
        <w:rPr>
          <w:rFonts w:ascii="Arial" w:hAnsi="Arial" w:cs="Arial"/>
        </w:rPr>
      </w:pPr>
      <w:r>
        <w:rPr>
          <w:noProof/>
        </w:rPr>
        <w:lastRenderedPageBreak/>
        <w:drawing>
          <wp:inline distT="0" distB="0" distL="0" distR="0" wp14:anchorId="2F9DD8C7" wp14:editId="3F2CCCD3">
            <wp:extent cx="4572000" cy="3467100"/>
            <wp:effectExtent l="0" t="0" r="0" b="0"/>
            <wp:docPr id="420965499" name="Chart 1">
              <a:extLst xmlns:a="http://schemas.openxmlformats.org/drawingml/2006/main">
                <a:ext uri="{FF2B5EF4-FFF2-40B4-BE49-F238E27FC236}">
                  <a16:creationId xmlns:a16="http://schemas.microsoft.com/office/drawing/2014/main" id="{BF4D7F48-4D31-059F-980A-ABA5A4157A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563B41" w14:textId="77777777" w:rsidR="00290947" w:rsidRPr="008776E8" w:rsidRDefault="00290947" w:rsidP="003065F5">
      <w:pPr>
        <w:jc w:val="both"/>
        <w:rPr>
          <w:rFonts w:ascii="Arial" w:hAnsi="Arial" w:cs="Arial"/>
        </w:rPr>
      </w:pPr>
    </w:p>
    <w:p w14:paraId="76700ADB" w14:textId="77777777" w:rsidR="008776E8" w:rsidRPr="008776E8" w:rsidRDefault="008776E8" w:rsidP="003065F5">
      <w:pPr>
        <w:jc w:val="both"/>
        <w:rPr>
          <w:rFonts w:ascii="Arial" w:hAnsi="Arial" w:cs="Arial"/>
        </w:rPr>
      </w:pPr>
      <w:r w:rsidRPr="00290947">
        <w:rPr>
          <w:rFonts w:ascii="Arial" w:hAnsi="Arial" w:cs="Arial"/>
          <w:b/>
          <w:bCs/>
        </w:rPr>
        <w:t>1. Importance:</w:t>
      </w:r>
      <w:r w:rsidRPr="008776E8">
        <w:rPr>
          <w:rFonts w:ascii="Arial" w:hAnsi="Arial" w:cs="Arial"/>
        </w:rPr>
        <w:t xml:space="preserve"> FCF is a key indicator of a company’s financial health, showing how much cash is available for dividends, share repurchases, debt repayment, or reinvestment in the business.</w:t>
      </w:r>
    </w:p>
    <w:p w14:paraId="435D5D0F" w14:textId="77777777" w:rsidR="008776E8" w:rsidRPr="00290947" w:rsidRDefault="008776E8" w:rsidP="003065F5">
      <w:pPr>
        <w:jc w:val="both"/>
        <w:rPr>
          <w:rFonts w:ascii="Arial" w:hAnsi="Arial" w:cs="Arial"/>
          <w:b/>
          <w:bCs/>
        </w:rPr>
      </w:pPr>
      <w:r w:rsidRPr="00290947">
        <w:rPr>
          <w:rFonts w:ascii="Arial" w:hAnsi="Arial" w:cs="Arial"/>
          <w:b/>
          <w:bCs/>
        </w:rPr>
        <w:t>2. Comparing FCF Across Companies:</w:t>
      </w:r>
    </w:p>
    <w:p w14:paraId="6FC7D8B2" w14:textId="77777777" w:rsidR="008776E8" w:rsidRPr="008776E8" w:rsidRDefault="008776E8" w:rsidP="003065F5">
      <w:pPr>
        <w:jc w:val="both"/>
        <w:rPr>
          <w:rFonts w:ascii="Arial" w:hAnsi="Arial" w:cs="Arial"/>
        </w:rPr>
      </w:pPr>
      <w:r w:rsidRPr="008776E8">
        <w:rPr>
          <w:rFonts w:ascii="Arial" w:hAnsi="Arial" w:cs="Arial"/>
        </w:rPr>
        <w:t>•</w:t>
      </w:r>
      <w:r w:rsidRPr="008776E8">
        <w:rPr>
          <w:rFonts w:ascii="Arial" w:hAnsi="Arial" w:cs="Arial"/>
        </w:rPr>
        <w:tab/>
        <w:t>Operational Efficiency: By comparing FCF across companies in the same industry, investors can assess which company is more efficient in converting revenue into cash. Higher FCF indicates that a company is more capable of generating cash from its operations after covering capital expenditures.</w:t>
      </w:r>
    </w:p>
    <w:p w14:paraId="60D1131B" w14:textId="77777777" w:rsidR="008776E8" w:rsidRPr="008776E8" w:rsidRDefault="008776E8" w:rsidP="003065F5">
      <w:pPr>
        <w:jc w:val="both"/>
        <w:rPr>
          <w:rFonts w:ascii="Arial" w:hAnsi="Arial" w:cs="Arial"/>
        </w:rPr>
      </w:pPr>
      <w:r w:rsidRPr="008776E8">
        <w:rPr>
          <w:rFonts w:ascii="Arial" w:hAnsi="Arial" w:cs="Arial"/>
        </w:rPr>
        <w:t>•</w:t>
      </w:r>
      <w:r w:rsidRPr="008776E8">
        <w:rPr>
          <w:rFonts w:ascii="Arial" w:hAnsi="Arial" w:cs="Arial"/>
        </w:rPr>
        <w:tab/>
        <w:t>Financial Flexibility: Companies with higher FCF have more flexibility in funding growth opportunities, paying down debt, or returning value to shareholders without needing to raise additional capital.</w:t>
      </w:r>
    </w:p>
    <w:p w14:paraId="4FD6E91F" w14:textId="77777777" w:rsidR="008776E8" w:rsidRPr="008776E8" w:rsidRDefault="008776E8" w:rsidP="003065F5">
      <w:pPr>
        <w:jc w:val="both"/>
        <w:rPr>
          <w:rFonts w:ascii="Arial" w:hAnsi="Arial" w:cs="Arial"/>
        </w:rPr>
      </w:pPr>
      <w:r w:rsidRPr="008776E8">
        <w:rPr>
          <w:rFonts w:ascii="Arial" w:hAnsi="Arial" w:cs="Arial"/>
        </w:rPr>
        <w:t>•</w:t>
      </w:r>
      <w:r w:rsidRPr="008776E8">
        <w:rPr>
          <w:rFonts w:ascii="Arial" w:hAnsi="Arial" w:cs="Arial"/>
        </w:rPr>
        <w:tab/>
        <w:t>Risk Assessment: Companies with consistently high FCF are generally seen as less risky because they can sustain operations and investments even during downturns, while companies with lower or negative FCF may struggle to meet obligations.</w:t>
      </w:r>
    </w:p>
    <w:p w14:paraId="02BA1CD6" w14:textId="77777777" w:rsidR="008776E8" w:rsidRPr="00290947" w:rsidRDefault="008776E8" w:rsidP="003065F5">
      <w:pPr>
        <w:jc w:val="both"/>
        <w:rPr>
          <w:rFonts w:ascii="Arial" w:hAnsi="Arial" w:cs="Arial"/>
          <w:b/>
          <w:bCs/>
        </w:rPr>
      </w:pPr>
      <w:r w:rsidRPr="00290947">
        <w:rPr>
          <w:rFonts w:ascii="Arial" w:hAnsi="Arial" w:cs="Arial"/>
          <w:b/>
          <w:bCs/>
        </w:rPr>
        <w:t>3. Investment Potential:</w:t>
      </w:r>
    </w:p>
    <w:p w14:paraId="38F0F7AA" w14:textId="77777777" w:rsidR="008776E8" w:rsidRPr="008776E8" w:rsidRDefault="008776E8" w:rsidP="003065F5">
      <w:pPr>
        <w:jc w:val="both"/>
        <w:rPr>
          <w:rFonts w:ascii="Arial" w:hAnsi="Arial" w:cs="Arial"/>
        </w:rPr>
      </w:pPr>
      <w:r w:rsidRPr="008776E8">
        <w:rPr>
          <w:rFonts w:ascii="Arial" w:hAnsi="Arial" w:cs="Arial"/>
        </w:rPr>
        <w:t>•</w:t>
      </w:r>
      <w:r w:rsidRPr="008776E8">
        <w:rPr>
          <w:rFonts w:ascii="Arial" w:hAnsi="Arial" w:cs="Arial"/>
        </w:rPr>
        <w:tab/>
        <w:t>Valuation Metric: FCF is often used in valuation models, such as the Discounted Cash Flow (DCF) model, to determine the intrinsic value of a company. Companies with strong FCF are usually valued higher because they can provide better returns to investors.</w:t>
      </w:r>
    </w:p>
    <w:p w14:paraId="0F59F7E6" w14:textId="77777777" w:rsidR="008776E8" w:rsidRPr="008776E8" w:rsidRDefault="008776E8" w:rsidP="003065F5">
      <w:pPr>
        <w:jc w:val="both"/>
        <w:rPr>
          <w:rFonts w:ascii="Arial" w:hAnsi="Arial" w:cs="Arial"/>
        </w:rPr>
      </w:pPr>
      <w:r w:rsidRPr="008776E8">
        <w:rPr>
          <w:rFonts w:ascii="Arial" w:hAnsi="Arial" w:cs="Arial"/>
        </w:rPr>
        <w:t>•</w:t>
      </w:r>
      <w:r w:rsidRPr="008776E8">
        <w:rPr>
          <w:rFonts w:ascii="Arial" w:hAnsi="Arial" w:cs="Arial"/>
        </w:rPr>
        <w:tab/>
        <w:t>Comparison Across Peers: By comparing the FCF yields (FCF divided by market capitalization) of different companies in the same industry, investors can identify which companies are potentially undervalued or overvalued.</w:t>
      </w:r>
    </w:p>
    <w:p w14:paraId="0987F372" w14:textId="77777777" w:rsidR="008776E8" w:rsidRPr="00290947" w:rsidRDefault="008776E8" w:rsidP="003065F5">
      <w:pPr>
        <w:jc w:val="both"/>
        <w:rPr>
          <w:rFonts w:ascii="Arial" w:hAnsi="Arial" w:cs="Arial"/>
          <w:b/>
          <w:bCs/>
        </w:rPr>
      </w:pPr>
      <w:r w:rsidRPr="00290947">
        <w:rPr>
          <w:rFonts w:ascii="Arial" w:hAnsi="Arial" w:cs="Arial"/>
          <w:b/>
          <w:bCs/>
        </w:rPr>
        <w:t>4. Growth Prospects:</w:t>
      </w:r>
    </w:p>
    <w:p w14:paraId="3F931B6E" w14:textId="77777777" w:rsidR="008776E8" w:rsidRPr="008776E8" w:rsidRDefault="008776E8" w:rsidP="003065F5">
      <w:pPr>
        <w:jc w:val="both"/>
        <w:rPr>
          <w:rFonts w:ascii="Arial" w:hAnsi="Arial" w:cs="Arial"/>
        </w:rPr>
      </w:pPr>
      <w:r w:rsidRPr="008776E8">
        <w:rPr>
          <w:rFonts w:ascii="Arial" w:hAnsi="Arial" w:cs="Arial"/>
        </w:rPr>
        <w:lastRenderedPageBreak/>
        <w:t>•</w:t>
      </w:r>
      <w:r w:rsidRPr="008776E8">
        <w:rPr>
          <w:rFonts w:ascii="Arial" w:hAnsi="Arial" w:cs="Arial"/>
        </w:rPr>
        <w:tab/>
        <w:t>Reinvestment Capabilities: A company with substantial FCF has the ability to reinvest in new projects, acquisitions, or R&amp;D, which can drive future growth. Investors can compare how different companies allocate their FCF to assess future growth potential.</w:t>
      </w:r>
    </w:p>
    <w:p w14:paraId="09901B96" w14:textId="77777777" w:rsidR="008776E8" w:rsidRPr="00290947" w:rsidRDefault="008776E8" w:rsidP="003065F5">
      <w:pPr>
        <w:jc w:val="both"/>
        <w:rPr>
          <w:rFonts w:ascii="Arial" w:hAnsi="Arial" w:cs="Arial"/>
          <w:b/>
          <w:bCs/>
        </w:rPr>
      </w:pPr>
      <w:r w:rsidRPr="00290947">
        <w:rPr>
          <w:rFonts w:ascii="Arial" w:hAnsi="Arial" w:cs="Arial"/>
          <w:b/>
          <w:bCs/>
        </w:rPr>
        <w:t>5. Practical Example:</w:t>
      </w:r>
    </w:p>
    <w:p w14:paraId="787F0E0C" w14:textId="77777777" w:rsidR="008776E8" w:rsidRPr="008776E8" w:rsidRDefault="008776E8" w:rsidP="003065F5">
      <w:pPr>
        <w:jc w:val="both"/>
        <w:rPr>
          <w:rFonts w:ascii="Arial" w:hAnsi="Arial" w:cs="Arial"/>
        </w:rPr>
      </w:pPr>
      <w:r w:rsidRPr="008776E8">
        <w:rPr>
          <w:rFonts w:ascii="Arial" w:hAnsi="Arial" w:cs="Arial"/>
        </w:rPr>
        <w:t>•</w:t>
      </w:r>
      <w:r w:rsidRPr="008776E8">
        <w:rPr>
          <w:rFonts w:ascii="Arial" w:hAnsi="Arial" w:cs="Arial"/>
        </w:rPr>
        <w:tab/>
        <w:t xml:space="preserve">Hypothetical Scenario: Consider two companies in the same industry. Company A has a high FCF but lower revenue growth, while Company B has lower FCF but higher revenue growth. Investors might </w:t>
      </w:r>
      <w:proofErr w:type="spellStart"/>
      <w:r w:rsidRPr="008776E8">
        <w:rPr>
          <w:rFonts w:ascii="Arial" w:hAnsi="Arial" w:cs="Arial"/>
        </w:rPr>
        <w:t>favor</w:t>
      </w:r>
      <w:proofErr w:type="spellEnd"/>
      <w:r w:rsidRPr="008776E8">
        <w:rPr>
          <w:rFonts w:ascii="Arial" w:hAnsi="Arial" w:cs="Arial"/>
        </w:rPr>
        <w:t xml:space="preserve"> Company A if they prioritize stability and cash returns, or Company B if they are looking for growth opportunities. The FCF analysis helps in making such strategic investment decisions.</w:t>
      </w:r>
    </w:p>
    <w:p w14:paraId="3D4AEA48" w14:textId="77777777" w:rsidR="008776E8" w:rsidRPr="00290947" w:rsidRDefault="008776E8" w:rsidP="003065F5">
      <w:pPr>
        <w:jc w:val="both"/>
        <w:rPr>
          <w:rFonts w:ascii="Arial" w:hAnsi="Arial" w:cs="Arial"/>
          <w:b/>
          <w:bCs/>
        </w:rPr>
      </w:pPr>
      <w:r w:rsidRPr="00290947">
        <w:rPr>
          <w:rFonts w:ascii="Arial" w:hAnsi="Arial" w:cs="Arial"/>
          <w:b/>
          <w:bCs/>
        </w:rPr>
        <w:t>Conclusion:</w:t>
      </w:r>
    </w:p>
    <w:p w14:paraId="7E0A92CF" w14:textId="77777777" w:rsidR="008776E8" w:rsidRDefault="008776E8" w:rsidP="003065F5">
      <w:pPr>
        <w:jc w:val="both"/>
        <w:rPr>
          <w:rFonts w:ascii="Arial" w:hAnsi="Arial" w:cs="Arial"/>
        </w:rPr>
      </w:pPr>
      <w:r w:rsidRPr="008776E8">
        <w:rPr>
          <w:rFonts w:ascii="Arial" w:hAnsi="Arial" w:cs="Arial"/>
        </w:rPr>
        <w:t>Free Cash Flow analysis provides investors with a clear picture of a company’s financial health, operational efficiency, and its ability to generate cash. By comparing FCF among companies within the same industry, investors can make informed decisions about which companies offer the best value, potential for growth, and financial stability. This comparison is especially useful in industries where capital expenditures are significant, as it highlights which companies are managing their resources most effectively.</w:t>
      </w:r>
    </w:p>
    <w:p w14:paraId="60D8967A" w14:textId="584E08E5" w:rsidR="003065F5" w:rsidRPr="008776E8" w:rsidRDefault="003065F5" w:rsidP="003065F5">
      <w:pPr>
        <w:jc w:val="both"/>
        <w:rPr>
          <w:rFonts w:ascii="Arial" w:hAnsi="Arial" w:cs="Arial"/>
        </w:rPr>
      </w:pPr>
      <w:r>
        <w:rPr>
          <w:rFonts w:ascii="Arial" w:hAnsi="Arial" w:cs="Arial"/>
        </w:rPr>
        <w:t xml:space="preserve"> </w:t>
      </w:r>
    </w:p>
    <w:sectPr w:rsidR="003065F5" w:rsidRPr="00877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709"/>
    <w:rsid w:val="002147FA"/>
    <w:rsid w:val="00290947"/>
    <w:rsid w:val="002B2D1A"/>
    <w:rsid w:val="003065F5"/>
    <w:rsid w:val="006410AC"/>
    <w:rsid w:val="006C6709"/>
    <w:rsid w:val="00870428"/>
    <w:rsid w:val="008776E8"/>
    <w:rsid w:val="00B120BA"/>
    <w:rsid w:val="00B83549"/>
    <w:rsid w:val="00D0331D"/>
    <w:rsid w:val="00DF4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B2B89"/>
  <w15:chartTrackingRefBased/>
  <w15:docId w15:val="{855C84E2-0243-48BA-9C91-E8631F6E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7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65F5"/>
    <w:rPr>
      <w:color w:val="0563C1" w:themeColor="hyperlink"/>
      <w:u w:val="single"/>
    </w:rPr>
  </w:style>
  <w:style w:type="character" w:styleId="UnresolvedMention">
    <w:name w:val="Unresolved Mention"/>
    <w:basedOn w:val="DefaultParagraphFont"/>
    <w:uiPriority w:val="99"/>
    <w:semiHidden/>
    <w:unhideWhenUsed/>
    <w:rsid w:val="00306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13339">
      <w:bodyDiv w:val="1"/>
      <w:marLeft w:val="0"/>
      <w:marRight w:val="0"/>
      <w:marTop w:val="0"/>
      <w:marBottom w:val="0"/>
      <w:divBdr>
        <w:top w:val="none" w:sz="0" w:space="0" w:color="auto"/>
        <w:left w:val="none" w:sz="0" w:space="0" w:color="auto"/>
        <w:bottom w:val="none" w:sz="0" w:space="0" w:color="auto"/>
        <w:right w:val="none" w:sz="0" w:space="0" w:color="auto"/>
      </w:divBdr>
      <w:divsChild>
        <w:div w:id="1773427658">
          <w:marLeft w:val="0"/>
          <w:marRight w:val="0"/>
          <w:marTop w:val="0"/>
          <w:marBottom w:val="0"/>
          <w:divBdr>
            <w:top w:val="none" w:sz="0" w:space="0" w:color="auto"/>
            <w:left w:val="none" w:sz="0" w:space="0" w:color="auto"/>
            <w:bottom w:val="none" w:sz="0" w:space="0" w:color="auto"/>
            <w:right w:val="none" w:sz="0" w:space="0" w:color="auto"/>
          </w:divBdr>
          <w:divsChild>
            <w:div w:id="947659511">
              <w:marLeft w:val="0"/>
              <w:marRight w:val="0"/>
              <w:marTop w:val="0"/>
              <w:marBottom w:val="180"/>
              <w:divBdr>
                <w:top w:val="none" w:sz="0" w:space="0" w:color="auto"/>
                <w:left w:val="none" w:sz="0" w:space="0" w:color="auto"/>
                <w:bottom w:val="none" w:sz="0" w:space="0" w:color="auto"/>
                <w:right w:val="none" w:sz="0" w:space="0" w:color="auto"/>
              </w:divBdr>
              <w:divsChild>
                <w:div w:id="10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1379">
          <w:marLeft w:val="0"/>
          <w:marRight w:val="0"/>
          <w:marTop w:val="0"/>
          <w:marBottom w:val="0"/>
          <w:divBdr>
            <w:top w:val="none" w:sz="0" w:space="0" w:color="auto"/>
            <w:left w:val="none" w:sz="0" w:space="0" w:color="auto"/>
            <w:bottom w:val="none" w:sz="0" w:space="0" w:color="auto"/>
            <w:right w:val="none" w:sz="0" w:space="0" w:color="auto"/>
          </w:divBdr>
        </w:div>
      </w:divsChild>
    </w:div>
    <w:div w:id="921911886">
      <w:bodyDiv w:val="1"/>
      <w:marLeft w:val="0"/>
      <w:marRight w:val="0"/>
      <w:marTop w:val="0"/>
      <w:marBottom w:val="0"/>
      <w:divBdr>
        <w:top w:val="none" w:sz="0" w:space="0" w:color="auto"/>
        <w:left w:val="none" w:sz="0" w:space="0" w:color="auto"/>
        <w:bottom w:val="none" w:sz="0" w:space="0" w:color="auto"/>
        <w:right w:val="none" w:sz="0" w:space="0" w:color="auto"/>
      </w:divBdr>
    </w:div>
    <w:div w:id="1069959473">
      <w:bodyDiv w:val="1"/>
      <w:marLeft w:val="0"/>
      <w:marRight w:val="0"/>
      <w:marTop w:val="0"/>
      <w:marBottom w:val="0"/>
      <w:divBdr>
        <w:top w:val="none" w:sz="0" w:space="0" w:color="auto"/>
        <w:left w:val="none" w:sz="0" w:space="0" w:color="auto"/>
        <w:bottom w:val="none" w:sz="0" w:space="0" w:color="auto"/>
        <w:right w:val="none" w:sz="0" w:space="0" w:color="auto"/>
      </w:divBdr>
    </w:div>
    <w:div w:id="1433894838">
      <w:bodyDiv w:val="1"/>
      <w:marLeft w:val="0"/>
      <w:marRight w:val="0"/>
      <w:marTop w:val="0"/>
      <w:marBottom w:val="0"/>
      <w:divBdr>
        <w:top w:val="none" w:sz="0" w:space="0" w:color="auto"/>
        <w:left w:val="none" w:sz="0" w:space="0" w:color="auto"/>
        <w:bottom w:val="none" w:sz="0" w:space="0" w:color="auto"/>
        <w:right w:val="none" w:sz="0" w:space="0" w:color="auto"/>
      </w:divBdr>
      <w:divsChild>
        <w:div w:id="675377456">
          <w:marLeft w:val="0"/>
          <w:marRight w:val="0"/>
          <w:marTop w:val="0"/>
          <w:marBottom w:val="0"/>
          <w:divBdr>
            <w:top w:val="none" w:sz="0" w:space="0" w:color="auto"/>
            <w:left w:val="none" w:sz="0" w:space="0" w:color="auto"/>
            <w:bottom w:val="none" w:sz="0" w:space="0" w:color="auto"/>
            <w:right w:val="none" w:sz="0" w:space="0" w:color="auto"/>
          </w:divBdr>
          <w:divsChild>
            <w:div w:id="1698963266">
              <w:marLeft w:val="0"/>
              <w:marRight w:val="0"/>
              <w:marTop w:val="0"/>
              <w:marBottom w:val="180"/>
              <w:divBdr>
                <w:top w:val="none" w:sz="0" w:space="0" w:color="auto"/>
                <w:left w:val="none" w:sz="0" w:space="0" w:color="auto"/>
                <w:bottom w:val="none" w:sz="0" w:space="0" w:color="auto"/>
                <w:right w:val="none" w:sz="0" w:space="0" w:color="auto"/>
              </w:divBdr>
              <w:divsChild>
                <w:div w:id="14547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1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scaler\Fintech%20Domain%20analytics\DCF%20Modelling\case%20study%20DCF.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caler\Fintech%20Domain%20analytics\DCF%20Modelling\case%20study%20DCF.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caler\Fintech%20Domain%20analytics\DCF%20Modelling\case%20study%20DCF.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caler\Fintech%20Domain%20analytics\DCF%20Modelling\case%20study%20DCF.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Debt to Equity Ratio</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'Q3'!$B$5</c:f>
              <c:strCache>
                <c:ptCount val="1"/>
                <c:pt idx="0">
                  <c:v>Total liabilities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'Q3'!$C$4:$F$4</c:f>
              <c:strCache>
                <c:ptCount val="4"/>
                <c:pt idx="0">
                  <c:v>Sep. 02, 2018</c:v>
                </c:pt>
                <c:pt idx="1">
                  <c:v>Sep. 01, 2019</c:v>
                </c:pt>
                <c:pt idx="2">
                  <c:v>Aug. 30, 2020</c:v>
                </c:pt>
                <c:pt idx="3">
                  <c:v>Aug. 29, 2021</c:v>
                </c:pt>
              </c:strCache>
            </c:strRef>
          </c:cat>
          <c:val>
            <c:numRef>
              <c:f>'Q3'!$C$5:$F$5</c:f>
              <c:numCache>
                <c:formatCode>#,##0</c:formatCode>
                <c:ptCount val="4"/>
                <c:pt idx="0">
                  <c:v>27727</c:v>
                </c:pt>
                <c:pt idx="1">
                  <c:v>29816</c:v>
                </c:pt>
                <c:pt idx="2">
                  <c:v>36851</c:v>
                </c:pt>
                <c:pt idx="3">
                  <c:v>41190</c:v>
                </c:pt>
              </c:numCache>
            </c:numRef>
          </c:val>
          <c:extLst>
            <c:ext xmlns:c16="http://schemas.microsoft.com/office/drawing/2014/chart" uri="{C3380CC4-5D6E-409C-BE32-E72D297353CC}">
              <c16:uniqueId val="{00000000-EF08-4C65-9F8A-BCD1DE813A00}"/>
            </c:ext>
          </c:extLst>
        </c:ser>
        <c:ser>
          <c:idx val="1"/>
          <c:order val="1"/>
          <c:tx>
            <c:strRef>
              <c:f>'Q3'!$B$6</c:f>
              <c:strCache>
                <c:ptCount val="1"/>
                <c:pt idx="0">
                  <c:v>Total equity</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'Q3'!$C$4:$F$4</c:f>
              <c:strCache>
                <c:ptCount val="4"/>
                <c:pt idx="0">
                  <c:v>Sep. 02, 2018</c:v>
                </c:pt>
                <c:pt idx="1">
                  <c:v>Sep. 01, 2019</c:v>
                </c:pt>
                <c:pt idx="2">
                  <c:v>Aug. 30, 2020</c:v>
                </c:pt>
                <c:pt idx="3">
                  <c:v>Aug. 29, 2021</c:v>
                </c:pt>
              </c:strCache>
            </c:strRef>
          </c:cat>
          <c:val>
            <c:numRef>
              <c:f>'Q3'!$C$6:$F$6</c:f>
              <c:numCache>
                <c:formatCode>#,##0</c:formatCode>
                <c:ptCount val="4"/>
                <c:pt idx="0">
                  <c:v>13103</c:v>
                </c:pt>
                <c:pt idx="1">
                  <c:v>15584</c:v>
                </c:pt>
                <c:pt idx="2">
                  <c:v>18705</c:v>
                </c:pt>
                <c:pt idx="3">
                  <c:v>18078</c:v>
                </c:pt>
              </c:numCache>
            </c:numRef>
          </c:val>
          <c:extLst>
            <c:ext xmlns:c16="http://schemas.microsoft.com/office/drawing/2014/chart" uri="{C3380CC4-5D6E-409C-BE32-E72D297353CC}">
              <c16:uniqueId val="{00000001-EF08-4C65-9F8A-BCD1DE813A00}"/>
            </c:ext>
          </c:extLst>
        </c:ser>
        <c:dLbls>
          <c:showLegendKey val="0"/>
          <c:showVal val="0"/>
          <c:showCatName val="0"/>
          <c:showSerName val="0"/>
          <c:showPercent val="0"/>
          <c:showBubbleSize val="0"/>
        </c:dLbls>
        <c:gapWidth val="150"/>
        <c:axId val="1130190336"/>
        <c:axId val="1130191776"/>
      </c:barChart>
      <c:lineChart>
        <c:grouping val="standard"/>
        <c:varyColors val="0"/>
        <c:ser>
          <c:idx val="2"/>
          <c:order val="2"/>
          <c:tx>
            <c:strRef>
              <c:f>'Q3'!$B$7</c:f>
              <c:strCache>
                <c:ptCount val="1"/>
                <c:pt idx="0">
                  <c:v>DEBT TO EQUITY RATIO</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'Q3'!$C$4:$F$4</c:f>
              <c:strCache>
                <c:ptCount val="4"/>
                <c:pt idx="0">
                  <c:v>Sep. 02, 2018</c:v>
                </c:pt>
                <c:pt idx="1">
                  <c:v>Sep. 01, 2019</c:v>
                </c:pt>
                <c:pt idx="2">
                  <c:v>Aug. 30, 2020</c:v>
                </c:pt>
                <c:pt idx="3">
                  <c:v>Aug. 29, 2021</c:v>
                </c:pt>
              </c:strCache>
            </c:strRef>
          </c:cat>
          <c:val>
            <c:numRef>
              <c:f>'Q3'!$C$7:$F$7</c:f>
              <c:numCache>
                <c:formatCode>General</c:formatCode>
                <c:ptCount val="4"/>
                <c:pt idx="0">
                  <c:v>2.1160802869571853</c:v>
                </c:pt>
                <c:pt idx="1">
                  <c:v>1.9132443531827514</c:v>
                </c:pt>
                <c:pt idx="2">
                  <c:v>1.9701149425287356</c:v>
                </c:pt>
                <c:pt idx="3">
                  <c:v>2.2784600066379026</c:v>
                </c:pt>
              </c:numCache>
            </c:numRef>
          </c:val>
          <c:smooth val="0"/>
          <c:extLst>
            <c:ext xmlns:c16="http://schemas.microsoft.com/office/drawing/2014/chart" uri="{C3380CC4-5D6E-409C-BE32-E72D297353CC}">
              <c16:uniqueId val="{00000002-EF08-4C65-9F8A-BCD1DE813A00}"/>
            </c:ext>
          </c:extLst>
        </c:ser>
        <c:dLbls>
          <c:showLegendKey val="0"/>
          <c:showVal val="0"/>
          <c:showCatName val="0"/>
          <c:showSerName val="0"/>
          <c:showPercent val="0"/>
          <c:showBubbleSize val="0"/>
        </c:dLbls>
        <c:marker val="1"/>
        <c:smooth val="0"/>
        <c:axId val="1295840496"/>
        <c:axId val="1295839536"/>
      </c:lineChart>
      <c:catAx>
        <c:axId val="113019033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30191776"/>
        <c:crosses val="autoZero"/>
        <c:auto val="1"/>
        <c:lblAlgn val="ctr"/>
        <c:lblOffset val="100"/>
        <c:noMultiLvlLbl val="0"/>
      </c:catAx>
      <c:valAx>
        <c:axId val="1130191776"/>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30190336"/>
        <c:crosses val="autoZero"/>
        <c:crossBetween val="between"/>
      </c:valAx>
      <c:valAx>
        <c:axId val="1295839536"/>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95840496"/>
        <c:crosses val="max"/>
        <c:crossBetween val="between"/>
      </c:valAx>
      <c:catAx>
        <c:axId val="1295840496"/>
        <c:scaling>
          <c:orientation val="minMax"/>
        </c:scaling>
        <c:delete val="1"/>
        <c:axPos val="b"/>
        <c:numFmt formatCode="General" sourceLinked="1"/>
        <c:majorTickMark val="none"/>
        <c:minorTickMark val="none"/>
        <c:tickLblPos val="nextTo"/>
        <c:crossAx val="129583953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Revenue Growth</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'Q4'!$A$5</c:f>
              <c:strCache>
                <c:ptCount val="1"/>
                <c:pt idx="0">
                  <c:v>Merchandise Sales Revenue</c:v>
                </c:pt>
              </c:strCache>
            </c:strRef>
          </c:tx>
          <c:spPr>
            <a:solidFill>
              <a:schemeClr val="accent1"/>
            </a:solidFill>
            <a:ln>
              <a:noFill/>
            </a:ln>
            <a:effectLst/>
          </c:spPr>
          <c:invertIfNegative val="0"/>
          <c:cat>
            <c:strRef>
              <c:f>'Q4'!$B$4:$D$4</c:f>
              <c:strCache>
                <c:ptCount val="3"/>
                <c:pt idx="0">
                  <c:v>Sep. 01, 2019</c:v>
                </c:pt>
                <c:pt idx="1">
                  <c:v>Aug. 30, 2020</c:v>
                </c:pt>
                <c:pt idx="2">
                  <c:v>Aug. 29, 2021</c:v>
                </c:pt>
              </c:strCache>
            </c:strRef>
          </c:cat>
          <c:val>
            <c:numRef>
              <c:f>'Q4'!$B$5:$D$5</c:f>
              <c:numCache>
                <c:formatCode>#,##0</c:formatCode>
                <c:ptCount val="3"/>
                <c:pt idx="0">
                  <c:v>149351</c:v>
                </c:pt>
                <c:pt idx="1">
                  <c:v>163220</c:v>
                </c:pt>
                <c:pt idx="2">
                  <c:v>192052</c:v>
                </c:pt>
              </c:numCache>
            </c:numRef>
          </c:val>
          <c:extLst>
            <c:ext xmlns:c16="http://schemas.microsoft.com/office/drawing/2014/chart" uri="{C3380CC4-5D6E-409C-BE32-E72D297353CC}">
              <c16:uniqueId val="{00000000-7832-4B90-9505-DC271BCE5666}"/>
            </c:ext>
          </c:extLst>
        </c:ser>
        <c:ser>
          <c:idx val="1"/>
          <c:order val="1"/>
          <c:tx>
            <c:strRef>
              <c:f>'Q4'!$A$6</c:f>
              <c:strCache>
                <c:ptCount val="1"/>
                <c:pt idx="0">
                  <c:v>Membership Fee Revenue</c:v>
                </c:pt>
              </c:strCache>
            </c:strRef>
          </c:tx>
          <c:spPr>
            <a:solidFill>
              <a:schemeClr val="accent2"/>
            </a:solidFill>
            <a:ln>
              <a:noFill/>
            </a:ln>
            <a:effectLst/>
          </c:spPr>
          <c:invertIfNegative val="0"/>
          <c:cat>
            <c:strRef>
              <c:f>'Q4'!$B$4:$D$4</c:f>
              <c:strCache>
                <c:ptCount val="3"/>
                <c:pt idx="0">
                  <c:v>Sep. 01, 2019</c:v>
                </c:pt>
                <c:pt idx="1">
                  <c:v>Aug. 30, 2020</c:v>
                </c:pt>
                <c:pt idx="2">
                  <c:v>Aug. 29, 2021</c:v>
                </c:pt>
              </c:strCache>
            </c:strRef>
          </c:cat>
          <c:val>
            <c:numRef>
              <c:f>'Q4'!$B$6:$D$6</c:f>
              <c:numCache>
                <c:formatCode>#,##0</c:formatCode>
                <c:ptCount val="3"/>
                <c:pt idx="0">
                  <c:v>3352</c:v>
                </c:pt>
                <c:pt idx="1">
                  <c:v>3541</c:v>
                </c:pt>
                <c:pt idx="2">
                  <c:v>3877</c:v>
                </c:pt>
              </c:numCache>
            </c:numRef>
          </c:val>
          <c:extLst>
            <c:ext xmlns:c16="http://schemas.microsoft.com/office/drawing/2014/chart" uri="{C3380CC4-5D6E-409C-BE32-E72D297353CC}">
              <c16:uniqueId val="{00000001-7832-4B90-9505-DC271BCE5666}"/>
            </c:ext>
          </c:extLst>
        </c:ser>
        <c:dLbls>
          <c:showLegendKey val="0"/>
          <c:showVal val="0"/>
          <c:showCatName val="0"/>
          <c:showSerName val="0"/>
          <c:showPercent val="0"/>
          <c:showBubbleSize val="0"/>
        </c:dLbls>
        <c:gapWidth val="247"/>
        <c:axId val="15984528"/>
        <c:axId val="15986928"/>
      </c:barChart>
      <c:lineChart>
        <c:grouping val="standard"/>
        <c:varyColors val="0"/>
        <c:ser>
          <c:idx val="2"/>
          <c:order val="2"/>
          <c:tx>
            <c:strRef>
              <c:f>'Q4'!$A$7</c:f>
              <c:strCache>
                <c:ptCount val="1"/>
                <c:pt idx="0">
                  <c:v>Total revenue</c:v>
                </c:pt>
              </c:strCache>
            </c:strRef>
          </c:tx>
          <c:spPr>
            <a:ln w="22225" cap="rnd">
              <a:solidFill>
                <a:schemeClr val="accent3"/>
              </a:solidFill>
              <a:round/>
            </a:ln>
            <a:effectLst/>
          </c:spPr>
          <c:marker>
            <c:symbol val="none"/>
          </c:marker>
          <c:cat>
            <c:strRef>
              <c:f>'Q4'!$B$4:$D$4</c:f>
              <c:strCache>
                <c:ptCount val="3"/>
                <c:pt idx="0">
                  <c:v>Sep. 01, 2019</c:v>
                </c:pt>
                <c:pt idx="1">
                  <c:v>Aug. 30, 2020</c:v>
                </c:pt>
                <c:pt idx="2">
                  <c:v>Aug. 29, 2021</c:v>
                </c:pt>
              </c:strCache>
            </c:strRef>
          </c:cat>
          <c:val>
            <c:numRef>
              <c:f>'Q4'!$B$7:$D$7</c:f>
              <c:numCache>
                <c:formatCode>"$"#,##0</c:formatCode>
                <c:ptCount val="3"/>
                <c:pt idx="0">
                  <c:v>152703</c:v>
                </c:pt>
                <c:pt idx="1">
                  <c:v>166761</c:v>
                </c:pt>
                <c:pt idx="2">
                  <c:v>195929</c:v>
                </c:pt>
              </c:numCache>
            </c:numRef>
          </c:val>
          <c:smooth val="0"/>
          <c:extLst>
            <c:ext xmlns:c16="http://schemas.microsoft.com/office/drawing/2014/chart" uri="{C3380CC4-5D6E-409C-BE32-E72D297353CC}">
              <c16:uniqueId val="{00000002-7832-4B90-9505-DC271BCE5666}"/>
            </c:ext>
          </c:extLst>
        </c:ser>
        <c:dLbls>
          <c:showLegendKey val="0"/>
          <c:showVal val="0"/>
          <c:showCatName val="0"/>
          <c:showSerName val="0"/>
          <c:showPercent val="0"/>
          <c:showBubbleSize val="0"/>
        </c:dLbls>
        <c:marker val="1"/>
        <c:smooth val="0"/>
        <c:axId val="6927216"/>
        <c:axId val="800479520"/>
      </c:lineChart>
      <c:catAx>
        <c:axId val="1598452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5986928"/>
        <c:crosses val="autoZero"/>
        <c:auto val="1"/>
        <c:lblAlgn val="ctr"/>
        <c:lblOffset val="100"/>
        <c:noMultiLvlLbl val="0"/>
      </c:catAx>
      <c:valAx>
        <c:axId val="15986928"/>
        <c:scaling>
          <c:orientation val="minMax"/>
        </c:scaling>
        <c:delete val="0"/>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5984528"/>
        <c:crosses val="autoZero"/>
        <c:crossBetween val="between"/>
      </c:valAx>
      <c:valAx>
        <c:axId val="800479520"/>
        <c:scaling>
          <c:orientation val="minMax"/>
        </c:scaling>
        <c:delete val="0"/>
        <c:axPos val="r"/>
        <c:numFmt formatCode="&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6927216"/>
        <c:crosses val="max"/>
        <c:crossBetween val="between"/>
      </c:valAx>
      <c:catAx>
        <c:axId val="6927216"/>
        <c:scaling>
          <c:orientation val="minMax"/>
        </c:scaling>
        <c:delete val="1"/>
        <c:axPos val="b"/>
        <c:numFmt formatCode="General" sourceLinked="1"/>
        <c:majorTickMark val="out"/>
        <c:minorTickMark val="none"/>
        <c:tickLblPos val="nextTo"/>
        <c:crossAx val="800479520"/>
        <c:crosses val="autoZero"/>
        <c:auto val="1"/>
        <c:lblAlgn val="ctr"/>
        <c:lblOffset val="100"/>
        <c:noMultiLvlLbl val="0"/>
      </c:cat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Gross Margin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'Q5'!$A$4</c:f>
              <c:strCache>
                <c:ptCount val="1"/>
                <c:pt idx="0">
                  <c:v>Revenue</c:v>
                </c:pt>
              </c:strCache>
            </c:strRef>
          </c:tx>
          <c:spPr>
            <a:solidFill>
              <a:schemeClr val="accent1"/>
            </a:solidFill>
            <a:ln>
              <a:noFill/>
            </a:ln>
            <a:effectLst/>
          </c:spPr>
          <c:invertIfNegative val="0"/>
          <c:cat>
            <c:numRef>
              <c:f>'Q5'!$B$3:$D$3</c:f>
              <c:numCache>
                <c:formatCode>yyyy\A</c:formatCode>
                <c:ptCount val="3"/>
                <c:pt idx="0">
                  <c:v>43830</c:v>
                </c:pt>
                <c:pt idx="1">
                  <c:v>44196</c:v>
                </c:pt>
                <c:pt idx="2">
                  <c:v>44561</c:v>
                </c:pt>
              </c:numCache>
            </c:numRef>
          </c:cat>
          <c:val>
            <c:numRef>
              <c:f>'Q5'!$B$4:$D$4</c:f>
              <c:numCache>
                <c:formatCode>#,##0_);\(#,##0\);\-\-_)</c:formatCode>
                <c:ptCount val="3"/>
                <c:pt idx="0">
                  <c:v>152703</c:v>
                </c:pt>
                <c:pt idx="1">
                  <c:v>166761</c:v>
                </c:pt>
                <c:pt idx="2">
                  <c:v>195929</c:v>
                </c:pt>
              </c:numCache>
            </c:numRef>
          </c:val>
          <c:extLst>
            <c:ext xmlns:c16="http://schemas.microsoft.com/office/drawing/2014/chart" uri="{C3380CC4-5D6E-409C-BE32-E72D297353CC}">
              <c16:uniqueId val="{00000000-B727-4B65-998C-CF9BB2E2C449}"/>
            </c:ext>
          </c:extLst>
        </c:ser>
        <c:ser>
          <c:idx val="1"/>
          <c:order val="1"/>
          <c:tx>
            <c:strRef>
              <c:f>'Q5'!$A$5</c:f>
              <c:strCache>
                <c:ptCount val="1"/>
                <c:pt idx="0">
                  <c:v>COGS</c:v>
                </c:pt>
              </c:strCache>
            </c:strRef>
          </c:tx>
          <c:spPr>
            <a:solidFill>
              <a:schemeClr val="accent2"/>
            </a:solidFill>
            <a:ln>
              <a:noFill/>
            </a:ln>
            <a:effectLst/>
          </c:spPr>
          <c:invertIfNegative val="0"/>
          <c:cat>
            <c:numRef>
              <c:f>'Q5'!$B$3:$D$3</c:f>
              <c:numCache>
                <c:formatCode>yyyy\A</c:formatCode>
                <c:ptCount val="3"/>
                <c:pt idx="0">
                  <c:v>43830</c:v>
                </c:pt>
                <c:pt idx="1">
                  <c:v>44196</c:v>
                </c:pt>
                <c:pt idx="2">
                  <c:v>44561</c:v>
                </c:pt>
              </c:numCache>
            </c:numRef>
          </c:cat>
          <c:val>
            <c:numRef>
              <c:f>'Q5'!$B$5:$D$5</c:f>
              <c:numCache>
                <c:formatCode>#,##0_);\(#,##0\);\-\-_)</c:formatCode>
                <c:ptCount val="3"/>
                <c:pt idx="0">
                  <c:v>132886</c:v>
                </c:pt>
                <c:pt idx="1">
                  <c:v>144939</c:v>
                </c:pt>
                <c:pt idx="2">
                  <c:v>170684</c:v>
                </c:pt>
              </c:numCache>
            </c:numRef>
          </c:val>
          <c:extLst>
            <c:ext xmlns:c16="http://schemas.microsoft.com/office/drawing/2014/chart" uri="{C3380CC4-5D6E-409C-BE32-E72D297353CC}">
              <c16:uniqueId val="{00000001-B727-4B65-998C-CF9BB2E2C449}"/>
            </c:ext>
          </c:extLst>
        </c:ser>
        <c:dLbls>
          <c:showLegendKey val="0"/>
          <c:showVal val="0"/>
          <c:showCatName val="0"/>
          <c:showSerName val="0"/>
          <c:showPercent val="0"/>
          <c:showBubbleSize val="0"/>
        </c:dLbls>
        <c:gapWidth val="219"/>
        <c:axId val="1218048015"/>
        <c:axId val="1218033615"/>
      </c:barChart>
      <c:lineChart>
        <c:grouping val="standard"/>
        <c:varyColors val="0"/>
        <c:ser>
          <c:idx val="2"/>
          <c:order val="2"/>
          <c:tx>
            <c:strRef>
              <c:f>'Q5'!$A$6</c:f>
              <c:strCache>
                <c:ptCount val="1"/>
                <c:pt idx="0">
                  <c:v>Gross Margin </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'Q5'!$B$3:$D$3</c:f>
              <c:numCache>
                <c:formatCode>yyyy\A</c:formatCode>
                <c:ptCount val="3"/>
                <c:pt idx="0">
                  <c:v>43830</c:v>
                </c:pt>
                <c:pt idx="1">
                  <c:v>44196</c:v>
                </c:pt>
                <c:pt idx="2">
                  <c:v>44561</c:v>
                </c:pt>
              </c:numCache>
            </c:numRef>
          </c:cat>
          <c:val>
            <c:numRef>
              <c:f>'Q5'!$B$6:$D$6</c:f>
              <c:numCache>
                <c:formatCode>General</c:formatCode>
                <c:ptCount val="3"/>
                <c:pt idx="0">
                  <c:v>12.977479158890134</c:v>
                </c:pt>
                <c:pt idx="1">
                  <c:v>13.085793440912443</c:v>
                </c:pt>
                <c:pt idx="2">
                  <c:v>12.884769482822858</c:v>
                </c:pt>
              </c:numCache>
            </c:numRef>
          </c:val>
          <c:smooth val="0"/>
          <c:extLst>
            <c:ext xmlns:c16="http://schemas.microsoft.com/office/drawing/2014/chart" uri="{C3380CC4-5D6E-409C-BE32-E72D297353CC}">
              <c16:uniqueId val="{00000002-B727-4B65-998C-CF9BB2E2C449}"/>
            </c:ext>
          </c:extLst>
        </c:ser>
        <c:dLbls>
          <c:showLegendKey val="0"/>
          <c:showVal val="0"/>
          <c:showCatName val="0"/>
          <c:showSerName val="0"/>
          <c:showPercent val="0"/>
          <c:showBubbleSize val="0"/>
        </c:dLbls>
        <c:marker val="1"/>
        <c:smooth val="0"/>
        <c:axId val="1218047535"/>
        <c:axId val="1218043695"/>
      </c:lineChart>
      <c:dateAx>
        <c:axId val="1218048015"/>
        <c:scaling>
          <c:orientation val="minMax"/>
        </c:scaling>
        <c:delete val="0"/>
        <c:axPos val="b"/>
        <c:numFmt formatCode="yyyy\A"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8033615"/>
        <c:crosses val="autoZero"/>
        <c:auto val="1"/>
        <c:lblOffset val="100"/>
        <c:baseTimeUnit val="years"/>
      </c:dateAx>
      <c:valAx>
        <c:axId val="1218033615"/>
        <c:scaling>
          <c:orientation val="minMax"/>
        </c:scaling>
        <c:delete val="0"/>
        <c:axPos val="l"/>
        <c:majorGridlines>
          <c:spPr>
            <a:ln w="9525" cap="flat" cmpd="sng" algn="ctr">
              <a:solidFill>
                <a:schemeClr val="tx1">
                  <a:lumMod val="15000"/>
                  <a:lumOff val="85000"/>
                </a:schemeClr>
              </a:solidFill>
              <a:round/>
            </a:ln>
            <a:effectLst/>
          </c:spPr>
        </c:majorGridlines>
        <c:numFmt formatCode="#,##0_);\(#,##0\);\-\-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8048015"/>
        <c:crosses val="autoZero"/>
        <c:crossBetween val="between"/>
      </c:valAx>
      <c:valAx>
        <c:axId val="1218043695"/>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8047535"/>
        <c:crosses val="max"/>
        <c:crossBetween val="between"/>
      </c:valAx>
      <c:dateAx>
        <c:axId val="1218047535"/>
        <c:scaling>
          <c:orientation val="minMax"/>
        </c:scaling>
        <c:delete val="1"/>
        <c:axPos val="b"/>
        <c:numFmt formatCode="yyyy\A" sourceLinked="1"/>
        <c:majorTickMark val="out"/>
        <c:minorTickMark val="none"/>
        <c:tickLblPos val="nextTo"/>
        <c:crossAx val="1218043695"/>
        <c:crosses val="autoZero"/>
        <c:auto val="1"/>
        <c:lblOffset val="100"/>
        <c:baseTimeUnit val="years"/>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Free</a:t>
            </a:r>
            <a:r>
              <a:rPr lang="en-IN" baseline="0"/>
              <a:t> Cash Flow</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'Q6'!$A$5</c:f>
              <c:strCache>
                <c:ptCount val="1"/>
                <c:pt idx="0">
                  <c:v>Gross Profit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'Q6'!$B$4:$D$4</c:f>
              <c:numCache>
                <c:formatCode>yyyy\A</c:formatCode>
                <c:ptCount val="3"/>
                <c:pt idx="0">
                  <c:v>43830</c:v>
                </c:pt>
                <c:pt idx="1">
                  <c:v>44196</c:v>
                </c:pt>
                <c:pt idx="2">
                  <c:v>44561</c:v>
                </c:pt>
              </c:numCache>
            </c:numRef>
          </c:cat>
          <c:val>
            <c:numRef>
              <c:f>'Q6'!$B$5:$D$5</c:f>
              <c:numCache>
                <c:formatCode>General</c:formatCode>
                <c:ptCount val="3"/>
                <c:pt idx="0">
                  <c:v>19817</c:v>
                </c:pt>
                <c:pt idx="1">
                  <c:v>21822</c:v>
                </c:pt>
                <c:pt idx="2">
                  <c:v>25245</c:v>
                </c:pt>
              </c:numCache>
            </c:numRef>
          </c:val>
          <c:extLst>
            <c:ext xmlns:c16="http://schemas.microsoft.com/office/drawing/2014/chart" uri="{C3380CC4-5D6E-409C-BE32-E72D297353CC}">
              <c16:uniqueId val="{00000000-B6D5-4472-91C1-94E8241CE29F}"/>
            </c:ext>
          </c:extLst>
        </c:ser>
        <c:ser>
          <c:idx val="1"/>
          <c:order val="1"/>
          <c:tx>
            <c:strRef>
              <c:f>'Q6'!$A$6</c:f>
              <c:strCache>
                <c:ptCount val="1"/>
                <c:pt idx="0">
                  <c:v>EBITDA</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'Q6'!$B$4:$D$4</c:f>
              <c:numCache>
                <c:formatCode>yyyy\A</c:formatCode>
                <c:ptCount val="3"/>
                <c:pt idx="0">
                  <c:v>43830</c:v>
                </c:pt>
                <c:pt idx="1">
                  <c:v>44196</c:v>
                </c:pt>
                <c:pt idx="2">
                  <c:v>44561</c:v>
                </c:pt>
              </c:numCache>
            </c:numRef>
          </c:cat>
          <c:val>
            <c:numRef>
              <c:f>'Q6'!$B$6:$D$6</c:f>
              <c:numCache>
                <c:formatCode>General</c:formatCode>
                <c:ptCount val="3"/>
                <c:pt idx="0">
                  <c:v>6229</c:v>
                </c:pt>
                <c:pt idx="1">
                  <c:v>7080</c:v>
                </c:pt>
                <c:pt idx="2">
                  <c:v>8489</c:v>
                </c:pt>
              </c:numCache>
            </c:numRef>
          </c:val>
          <c:extLst>
            <c:ext xmlns:c16="http://schemas.microsoft.com/office/drawing/2014/chart" uri="{C3380CC4-5D6E-409C-BE32-E72D297353CC}">
              <c16:uniqueId val="{00000001-B6D5-4472-91C1-94E8241CE29F}"/>
            </c:ext>
          </c:extLst>
        </c:ser>
        <c:dLbls>
          <c:showLegendKey val="0"/>
          <c:showVal val="0"/>
          <c:showCatName val="0"/>
          <c:showSerName val="0"/>
          <c:showPercent val="0"/>
          <c:showBubbleSize val="0"/>
        </c:dLbls>
        <c:gapWidth val="219"/>
        <c:overlap val="-27"/>
        <c:axId val="1216411359"/>
        <c:axId val="1216413759"/>
      </c:barChart>
      <c:lineChart>
        <c:grouping val="standard"/>
        <c:varyColors val="0"/>
        <c:ser>
          <c:idx val="2"/>
          <c:order val="2"/>
          <c:tx>
            <c:strRef>
              <c:f>'Q6'!$A$7</c:f>
              <c:strCache>
                <c:ptCount val="1"/>
                <c:pt idx="0">
                  <c:v>Unlevered Free Cash Flow</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'Q6'!$B$4:$D$4</c:f>
              <c:numCache>
                <c:formatCode>yyyy\A</c:formatCode>
                <c:ptCount val="3"/>
                <c:pt idx="0">
                  <c:v>43830</c:v>
                </c:pt>
                <c:pt idx="1">
                  <c:v>44196</c:v>
                </c:pt>
                <c:pt idx="2">
                  <c:v>44561</c:v>
                </c:pt>
              </c:numCache>
            </c:numRef>
          </c:cat>
          <c:val>
            <c:numRef>
              <c:f>'Q6'!$B$7:$D$7</c:f>
              <c:numCache>
                <c:formatCode>General</c:formatCode>
                <c:ptCount val="3"/>
                <c:pt idx="0">
                  <c:v>3158</c:v>
                </c:pt>
                <c:pt idx="1">
                  <c:v>2859</c:v>
                </c:pt>
                <c:pt idx="2">
                  <c:v>4698</c:v>
                </c:pt>
              </c:numCache>
            </c:numRef>
          </c:val>
          <c:smooth val="0"/>
          <c:extLst>
            <c:ext xmlns:c16="http://schemas.microsoft.com/office/drawing/2014/chart" uri="{C3380CC4-5D6E-409C-BE32-E72D297353CC}">
              <c16:uniqueId val="{00000002-B6D5-4472-91C1-94E8241CE29F}"/>
            </c:ext>
          </c:extLst>
        </c:ser>
        <c:dLbls>
          <c:showLegendKey val="0"/>
          <c:showVal val="0"/>
          <c:showCatName val="0"/>
          <c:showSerName val="0"/>
          <c:showPercent val="0"/>
          <c:showBubbleSize val="0"/>
        </c:dLbls>
        <c:marker val="1"/>
        <c:smooth val="0"/>
        <c:axId val="1216418079"/>
        <c:axId val="1216407519"/>
      </c:lineChart>
      <c:dateAx>
        <c:axId val="1216411359"/>
        <c:scaling>
          <c:orientation val="minMax"/>
        </c:scaling>
        <c:delete val="0"/>
        <c:axPos val="b"/>
        <c:numFmt formatCode="yyyy\A" sourceLinked="1"/>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16413759"/>
        <c:crosses val="autoZero"/>
        <c:auto val="1"/>
        <c:lblOffset val="100"/>
        <c:baseTimeUnit val="years"/>
      </c:dateAx>
      <c:valAx>
        <c:axId val="121641375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16411359"/>
        <c:crosses val="autoZero"/>
        <c:crossBetween val="between"/>
      </c:valAx>
      <c:valAx>
        <c:axId val="1216407519"/>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16418079"/>
        <c:crosses val="max"/>
        <c:crossBetween val="between"/>
      </c:valAx>
      <c:dateAx>
        <c:axId val="1216418079"/>
        <c:scaling>
          <c:orientation val="minMax"/>
        </c:scaling>
        <c:delete val="1"/>
        <c:axPos val="b"/>
        <c:numFmt formatCode="yyyy\A" sourceLinked="1"/>
        <c:majorTickMark val="out"/>
        <c:minorTickMark val="none"/>
        <c:tickLblPos val="nextTo"/>
        <c:crossAx val="1216407519"/>
        <c:crosses val="autoZero"/>
        <c:auto val="1"/>
        <c:lblOffset val="100"/>
        <c:baseTimeUnit val="years"/>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2273</Words>
  <Characters>12957</Characters>
  <Application>Microsoft Office Word</Application>
  <DocSecurity>0</DocSecurity>
  <Lines>107</Lines>
  <Paragraphs>30</Paragraphs>
  <ScaleCrop>false</ScaleCrop>
  <Company/>
  <LinksUpToDate>false</LinksUpToDate>
  <CharactersWithSpaces>15200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Lalhmingthang Tryte</dc:creator>
  <cp:keywords/>
  <dc:description/>
  <cp:lastModifiedBy>Saranya S</cp:lastModifiedBy>
  <cp:revision>15</cp:revision>
  <dcterms:created xsi:type="dcterms:W3CDTF">2024-08-23T14:26:00Z</dcterms:created>
  <dcterms:modified xsi:type="dcterms:W3CDTF">2024-08-23T15:01:00Z</dcterms:modified>
</cp:coreProperties>
</file>