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898C"/>
          <w:sz w:val="28"/>
        </w:rPr>
        <w:t>VIBETRADER</w:t>
      </w:r>
    </w:p>
    <w:p>
      <w:pPr>
        <w:pStyle w:val="DeckTitle"/>
        <w:jc w:val="center"/>
      </w:pPr>
      <w:r>
        <w:t>SCORE Tech Pitch</w:t>
        <w:br/>
        <w:t>10-Slide Content Draft</w:t>
      </w:r>
    </w:p>
    <w:p>
      <w:pPr>
        <w:jc w:val="center"/>
      </w:pPr>
      <w:r>
        <w:rPr>
          <w:color w:val="5A6470"/>
          <w:sz w:val="24"/>
        </w:rPr>
        <w:t>Updated from the current 17-slide pitch deck</w:t>
      </w:r>
    </w:p>
    <w:p>
      <w:pPr>
        <w:spacing w:before="360"/>
        <w:jc w:val="center"/>
      </w:pPr>
      <w:r>
        <w:rPr>
          <w:color w:val="14253F"/>
          <w:sz w:val="22"/>
        </w:rPr>
        <w:t>Preserves the current clean, visual style while aligning to SCORE.</w:t>
      </w:r>
    </w:p>
    <w:p>
      <w:pPr>
        <w:spacing w:before="600"/>
        <w:jc w:val="center"/>
      </w:pPr>
      <w:r>
        <w:rPr>
          <w:b/>
          <w:color w:val="14253F"/>
          <w:sz w:val="30"/>
        </w:rPr>
        <w:t>One message per slide. Large numbers. Minimal supporting text.</w:t>
      </w:r>
    </w:p>
    <w:p>
      <w:r>
        <w:br w:type="page"/>
      </w:r>
    </w:p>
    <w:p>
      <w:pPr>
        <w:pStyle w:val="DeckTitle"/>
      </w:pPr>
      <w:r>
        <w:t>Final 10-Slide Structure</w:t>
      </w:r>
    </w:p>
    <w:p>
      <w:pPr>
        <w:pStyle w:val="BodyLead"/>
      </w:pPr>
      <w:r>
        <w:t>Exact on-slide copy, current slides to reuse, and recommended visual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SCORE Slide</w:t>
            </w:r>
          </w:p>
        </w:tc>
        <w:tc>
          <w:tcPr>
            <w:tcW w:type="dxa" w:w="3456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Final Title</w:t>
            </w:r>
          </w:p>
        </w:tc>
        <w:tc>
          <w:tcPr>
            <w:tcW w:type="dxa" w:w="3456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1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Problem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Slides 1–2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2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Solution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Slides 3–5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3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Market &amp; Opportunity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6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4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Customers &amp; Validation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7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5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Go-To-Market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10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6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Business Model &amp; Financials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Slides 8 + 15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7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Competition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11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8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Team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13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9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Funding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Current Slide 16</w:t>
            </w:r>
          </w:p>
        </w:tc>
      </w:tr>
      <w:tr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  <w:jc w:val="center"/>
            </w:pPr>
            <w:r>
              <w:rPr>
                <w:b/>
                <w:color w:val="14253F"/>
                <w:sz w:val="18"/>
              </w:rPr>
              <w:t>10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Offer &amp; Exit</w:t>
            </w:r>
          </w:p>
        </w:tc>
        <w:tc>
          <w:tcPr>
            <w:tcW w:type="dxa" w:w="3456"/>
            <w:tcMar>
              <w:top w:w="65" w:type="dxa"/>
              <w:start w:w="85" w:type="dxa"/>
              <w:bottom w:w="65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Replace Current Slide 17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1</w:t>
      </w:r>
    </w:p>
    <w:p>
      <w:pPr>
        <w:pStyle w:val="SlideHeading"/>
        <w:spacing w:after="100"/>
      </w:pPr>
      <w:r>
        <w:t>The Decision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1 (Cover) + Current Slide 2 (Problem)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KEEP / LIGHT EDIT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14253F"/>
                <w:sz w:val="34"/>
              </w:rPr>
              <w:t>VibeTrader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AI Decision Intelligence for Traders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Trading platforms help traders execute trades.</w:t>
            </w:r>
          </w:p>
          <w:p>
            <w:pPr>
              <w:spacing w:after="100"/>
            </w:pPr>
            <w:r>
              <w:rPr>
                <w:i/>
                <w:color w:val="14253F"/>
                <w:sz w:val="23"/>
              </w:rPr>
              <w:t>They do not help traders consistently make better decisions.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TRADERS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Markets change • Strategies stop working • Emotion drives decisions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BROKERS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High churn • Low engagement • Limited trader insight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VibeTrader closes the gap between trade execution and decision quality.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Use the current Decision Gap visual. Keep the company name and tagline small at the top; do not add a separate introduction paragraph.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2</w:t>
      </w:r>
    </w:p>
    <w:p>
      <w:pPr>
        <w:pStyle w:val="SlideHeading"/>
        <w:spacing w:after="100"/>
      </w:pPr>
      <w:r>
        <w:t>AI Decision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Slides 3 (Learning) + 4 (Decision Intelligence) + 5 (Demo)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MERGE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i/>
                <w:color w:val="14253F"/>
                <w:sz w:val="23"/>
              </w:rPr>
              <w:t>VibeTrader continuously learns from markets, strategies, and trader behavior.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MARKET INTELLIGENCE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Real-time market context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STRATEGY INTELLIGENCE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Build, test, and adapt strategies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RISK INTELLIGENCE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Personalized risk guidance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TRADER INTELLIGENCE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Behavioral insights and AI journal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Built. Live. Used by traders today.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Retain the existing central Decision Intelligence graphic. Place one small product screenshot on the right or bottom. Avoid listing every feature.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3</w:t>
      </w:r>
    </w:p>
    <w:p>
      <w:pPr>
        <w:pStyle w:val="SlideHeading"/>
        <w:spacing w:after="100"/>
      </w:pPr>
      <w:r>
        <w:t>Large Market. Focused Entry.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6 (Market Opportunity)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KEEP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$20B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Global online trading platform market by 2030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7.4M+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Active retail FX and CFD accounts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150K–250K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Initial MT4 / MT5 beachhead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Start with forex. Expand across financial markets.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Keep the existing three-level TAM / SAM / SOM visual. Use only one short trend line beneath it.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4</w:t>
      </w:r>
    </w:p>
    <w:p>
      <w:pPr>
        <w:pStyle w:val="SlideHeading"/>
        <w:spacing w:after="100"/>
      </w:pPr>
      <w:r>
        <w:t>Customers &amp;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7 (Market Validation)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REVISE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BROKERAGES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Increase engagement and trader retention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TRADING ACADEMIES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Scale education with AI-powered tools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RETAIL TRADERS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Make better, more disciplined decisions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1,800+ REGISTERED TRADERS   •   2 LIVE PILOTS   •   7+ BROKER PIPELINE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Validated with traders, brokers, and education partners.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Use three customer icons across the top and three large validation metrics beneath. Keep logos only if they remain readable.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5</w:t>
      </w:r>
    </w:p>
    <w:p>
      <w:pPr>
        <w:pStyle w:val="SlideHeading"/>
        <w:spacing w:after="100"/>
      </w:pPr>
      <w:r>
        <w:t>Scalable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10 (Go-To-Market Strategy)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KEEP / SIMPLIFY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DIRECT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Product-led growth • Organic acquisition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PARTNERS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Brokers • Trading academies • Affiliates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PRICING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Trader plans: $25 • $99 • $200 / month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B2B2C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Licensing • CPA • Revenue share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Direct adoption builds demand. Partners accelerate scale.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Keep the current channel flow. Show four concise blocks rather than detailed acquisition tactics.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6</w:t>
      </w:r>
    </w:p>
    <w:p>
      <w:pPr>
        <w:pStyle w:val="SlideHeading"/>
        <w:spacing w:after="100"/>
      </w:pPr>
      <w:r>
        <w:t>Recurring Revenue Business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8 (Business Model) + Current Slide 15 (Financials)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MERGE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REVENUE ENGINES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Trader subscriptions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Broker partnerships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Enterprise licensing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FINANCIAL OUTLOOK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$15M+ Year 5 revenue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~$25K monthly burn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High-margin software model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Break-even targeted as recurring revenue scales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Multiple recurring revenue streams. Capital-efficient execution.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Use a clean 50/50 split: revenue engines on the left, financial snapshot on the right. Keep the detailed 5-year chart in the appendix.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7</w:t>
      </w:r>
    </w:p>
    <w:p>
      <w:pPr>
        <w:pStyle w:val="SlideHeading"/>
        <w:spacing w:after="100"/>
      </w:pPr>
      <w:r>
        <w:t>Competitive Advantage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11 (Competitive Advantage)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KEEP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TRADITIONAL PLATFORMS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Charts • Indicators • Execution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AUTOMATION TOOLS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Rules • Bots • Static strategies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VIBETRADER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Adaptive decision intelligence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Personalized guidance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Strategy + risk + behavior in one platform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Every interaction strengthens VibeTrader's intelligence layer.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Retain the existing competitor matrix and checkmarks. Limit it to the most relevant four competitors and five differentiators.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8</w:t>
      </w:r>
    </w:p>
    <w:p>
      <w:pPr>
        <w:pStyle w:val="SlideHeading"/>
        <w:spacing w:after="100"/>
      </w:pPr>
      <w:r>
        <w:t>Built by Traders &amp; AI Engineers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13 (Leadership Team)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REVISE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SARANYA AMIRTHALINGAM — CEO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Product • Partnerships • Growth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NITHYAKUMARAN GNANASEKAR — CTO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Former Amazon • AI infrastructure • Trading platform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DOMAIN EXPERTISE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AI • Enterprise software • Decades of market experience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NEXT HIRES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Sales • AI engineering • Customer success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A technical founding team with product, trading, and distribution experience.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Keep the current headshots and short bios. Replace long descriptions with role-specific proof. Advisors can appear as a small footer row.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9</w:t>
      </w:r>
    </w:p>
    <w:p>
      <w:pPr>
        <w:pStyle w:val="SlideHeading"/>
        <w:spacing w:after="100"/>
      </w:pPr>
      <w:r>
        <w:t>Funding the Next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Current Slide 16 (Funding the Next Stage)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KEEP / REVISE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14253F"/>
                <w:sz w:val="34"/>
              </w:rPr>
              <w:t>RAISING $1M PRE-SEED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40% Product &amp; AI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30% Sales &amp; Partnerships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20% Engineering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10% Operations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18-MONTH MILESTONES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Commercial broker partnerships • Revenue growth • Mobile expansion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Capital converts early validation into commercial scale.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Use the current four-pillar funding visual. Add percentages inside each pillar and one milestone line below.</w:t>
      </w:r>
    </w:p>
    <w:p>
      <w:r>
        <w:br w:type="page"/>
      </w:r>
    </w:p>
    <w:p>
      <w:pPr>
        <w:spacing w:before="40" w:after="40"/>
      </w:pPr>
      <w:r>
        <w:rPr>
          <w:b/>
          <w:color w:val="1F898C"/>
          <w:sz w:val="18"/>
        </w:rPr>
        <w:t>SLIDE 10</w:t>
      </w:r>
    </w:p>
    <w:p>
      <w:pPr>
        <w:pStyle w:val="SlideHeading"/>
        <w:spacing w:after="100"/>
      </w:pPr>
      <w:r>
        <w:t>Offer &amp; Long-Term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4253F"/>
              </w:rPr>
              <w:t xml:space="preserve">Built from: </w:t>
            </w:r>
            <w:r>
              <w:rPr>
                <w:color w:val="5A6470"/>
              </w:rPr>
              <w:t>Replace Current Slide 17 (Thank You)</w:t>
            </w:r>
          </w:p>
        </w:tc>
        <w:tc>
          <w:tcPr>
            <w:tcW w:type="dxa" w:w="5184"/>
            <w:shd w:fill="F5F8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A60A2"/>
              </w:rPr>
              <w:t>REPLACE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after="100"/>
            </w:pPr>
            <w:r>
              <w:rPr>
                <w:b/>
                <w:color w:val="14253F"/>
                <w:sz w:val="34"/>
              </w:rPr>
              <w:t>$1M SAFE</w:t>
            </w:r>
          </w:p>
          <w:p>
            <w:pPr>
              <w:spacing w:after="100"/>
            </w:pPr>
            <w:r>
              <w:rPr>
                <w:b/>
                <w:color w:val="14253F"/>
                <w:sz w:val="28"/>
              </w:rPr>
              <w:t>$10M Valuation Cap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LONG-TERM PATH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Build the global decision intelligence platform for trading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Potential strategic acquisition by a broker, trading platform, or fintech infrastructure company</w:t>
            </w:r>
          </w:p>
          <w:p>
            <w:pPr>
              <w:spacing w:after="100"/>
            </w:pPr>
            <w:r>
              <w:rPr>
                <w:b/>
                <w:color w:val="2A60A2"/>
                <w:sz w:val="22"/>
              </w:rPr>
              <w:t>VISION</w:t>
            </w:r>
          </w:p>
          <w:p>
            <w:pPr>
              <w:spacing w:after="100"/>
            </w:pPr>
            <w:r>
              <w:rPr>
                <w:i/>
                <w:color w:val="14253F"/>
                <w:sz w:val="23"/>
              </w:rPr>
              <w:t>Bring institutional intelligence to every trader.</w:t>
            </w:r>
          </w:p>
          <w:p>
            <w:pPr>
              <w:spacing w:after="100"/>
            </w:pPr>
            <w:r>
              <w:rPr>
                <w:color w:val="5A6470"/>
                <w:sz w:val="21"/>
              </w:rPr>
              <w:t>Saranya Amirthalingam  •  CEO  •  vibetrader.com</w:t>
            </w:r>
          </w:p>
          <w:p>
            <w:pPr>
              <w:spacing w:before="120" w:after="0"/>
            </w:pPr>
            <w:r>
              <w:rPr>
                <w:b/>
                <w:color w:val="1F898C"/>
                <w:sz w:val="22"/>
              </w:rPr>
              <w:t>Join us in building the intelligence layer for modern trading.</w:t>
            </w:r>
          </w:p>
        </w:tc>
      </w:tr>
    </w:tbl>
    <w:p>
      <w:pPr>
        <w:spacing w:before="100" w:after="0"/>
      </w:pPr>
      <w:r>
        <w:rPr>
          <w:b/>
          <w:color w:val="14253F"/>
          <w:sz w:val="18"/>
        </w:rPr>
        <w:t xml:space="preserve">Layout note: </w:t>
      </w:r>
      <w:r>
        <w:rPr>
          <w:color w:val="5A6470"/>
          <w:sz w:val="18"/>
        </w:rPr>
        <w:t>Keep this visually calm. Use the current closing-slide background, one large offer block, one short long-term path, and contact information at the bottom.</w:t>
      </w:r>
    </w:p>
    <w:p>
      <w:r>
        <w:br w:type="page"/>
      </w:r>
    </w:p>
    <w:p>
      <w:pPr>
        <w:pStyle w:val="DeckTitle"/>
      </w:pPr>
      <w:r>
        <w:t>Slides to Remove or Absorb</w:t>
      </w:r>
    </w:p>
    <w:p>
      <w:pPr>
        <w:pStyle w:val="BodyLead"/>
      </w:pPr>
      <w:r>
        <w:t>These should not remain as standalone slides in the SCORE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Current #</w:t>
            </w:r>
          </w:p>
        </w:tc>
        <w:tc>
          <w:tcPr>
            <w:tcW w:type="dxa" w:w="2592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Current Title</w:t>
            </w:r>
          </w:p>
        </w:tc>
        <w:tc>
          <w:tcPr>
            <w:tcW w:type="dxa" w:w="2592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592"/>
            <w:shd w:fill="14253F"/>
          </w:tcPr>
          <w:p>
            <w:pPr>
              <w:jc w:val="center"/>
            </w:pP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Current Slide 9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Why Customers Stay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color w:val="2A60A2"/>
                <w:sz w:val="18"/>
              </w:rPr>
              <w:t>REMOVE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Move one line about continuous learning to Slide 7.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Current Slide 12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Expansion Strategy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b/>
                <w:color w:val="2A60A2"/>
                <w:sz w:val="18"/>
              </w:rPr>
              <w:t>REMOVE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Keep expansion detail in the appendix.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Current Slide 14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14253F"/>
                <w:sz w:val="18"/>
              </w:rPr>
              <w:t>Why Invest Now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b/>
                <w:color w:val="2A60A2"/>
                <w:sz w:val="18"/>
              </w:rPr>
              <w:t>REMOVE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color w:val="5A6470"/>
                <w:sz w:val="18"/>
              </w:rPr>
              <w:t>Its points are already proven elsewhere.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Current Slide 17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14253F"/>
                <w:sz w:val="18"/>
              </w:rPr>
              <w:t>Thank You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b/>
                <w:color w:val="2A60A2"/>
                <w:sz w:val="18"/>
              </w:rPr>
              <w:t>REPLACE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shd w:fill="F5F8FB"/>
          </w:tcPr>
          <w:p>
            <w:pPr>
              <w:spacing w:after="0"/>
            </w:pPr>
            <w:r>
              <w:rPr>
                <w:color w:val="5A6470"/>
                <w:sz w:val="18"/>
              </w:rPr>
              <w:t>Reuse the style, but replace the content with Offer &amp; Exit.</w:t>
            </w:r>
          </w:p>
        </w:tc>
      </w:tr>
    </w:tbl>
    <w:p/>
    <w:p>
      <w:pPr>
        <w:pStyle w:val="SlideHeading"/>
      </w:pPr>
      <w:r>
        <w:t>Absorbed Through Merging</w:t>
      </w:r>
    </w:p>
    <w:p>
      <w:pPr>
        <w:spacing w:after="60"/>
      </w:pPr>
      <w:r>
        <w:rPr>
          <w:b/>
          <w:color w:val="14253F"/>
        </w:rPr>
        <w:t>Current Slide 3 — What We Learned</w:t>
      </w:r>
      <w:r>
        <w:rPr>
          <w:color w:val="5A6470"/>
        </w:rPr>
        <w:t xml:space="preserve">  →  SCORE Slide 2</w:t>
      </w:r>
    </w:p>
    <w:p>
      <w:pPr>
        <w:spacing w:after="60"/>
      </w:pPr>
      <w:r>
        <w:rPr>
          <w:b/>
          <w:color w:val="14253F"/>
        </w:rPr>
        <w:t>Current Slide 5 — Decision Intelligence in Action</w:t>
      </w:r>
      <w:r>
        <w:rPr>
          <w:color w:val="5A6470"/>
        </w:rPr>
        <w:t xml:space="preserve">  →  SCORE Slide 2</w:t>
      </w:r>
    </w:p>
    <w:p>
      <w:pPr>
        <w:spacing w:after="60"/>
      </w:pPr>
      <w:r>
        <w:rPr>
          <w:b/>
          <w:color w:val="14253F"/>
        </w:rPr>
        <w:t>Current Slide 8 — Business Model</w:t>
      </w:r>
      <w:r>
        <w:rPr>
          <w:color w:val="5A6470"/>
        </w:rPr>
        <w:t xml:space="preserve">  →  SCORE Slide 6</w:t>
      </w:r>
    </w:p>
    <w:p>
      <w:pPr>
        <w:spacing w:after="60"/>
      </w:pPr>
      <w:r>
        <w:rPr>
          <w:b/>
          <w:color w:val="14253F"/>
        </w:rPr>
        <w:t>Current Slide 15 — Financials</w:t>
      </w:r>
      <w:r>
        <w:rPr>
          <w:color w:val="5A6470"/>
        </w:rPr>
        <w:t xml:space="preserve">  →  SCORE Slide 6</w:t>
      </w:r>
    </w:p>
    <w:p>
      <w:pPr>
        <w:pStyle w:val="SlideHeading"/>
      </w:pPr>
      <w:r>
        <w:t>Design Guardrails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One dominant message per slide.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No more than three visual sections on a slide.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Prefer large numbers and short labels over paragraphs.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Use one screenshot only on the Solution slide.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Move detailed projections, assumptions, pilot names, and product deep-dives to the appendix.</w:t>
      </w:r>
    </w:p>
    <w:p>
      <w:pPr>
        <w:spacing w:after="40"/>
        <w:ind w:left="259" w:hanging="173"/>
      </w:pPr>
      <w:r>
        <w:rPr>
          <w:b/>
          <w:color w:val="1F898C"/>
        </w:rPr>
        <w:t xml:space="preserve">• </w:t>
      </w:r>
      <w:r>
        <w:rPr>
          <w:color w:val="5A6470"/>
        </w:rPr>
        <w:t>Preserve the current navy, white, and blue visual system and generous whitespace.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0"/>
        <w:sz w:val="16"/>
      </w:rPr>
      <w:t>VibeTrader SCORE Tech Pitch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Title">
    <w:name w:val="DeckTitle"/>
    <w:pPr>
      <w:spacing w:after="100"/>
    </w:pPr>
    <w:rPr>
      <w:rFonts w:ascii="Aptos" w:hAnsi="Aptos"/>
      <w:b/>
      <w:color w:val="14253F"/>
      <w:sz w:val="48"/>
    </w:rPr>
  </w:style>
  <w:style w:type="paragraph" w:customStyle="1" w:styleId="SlideHeading">
    <w:name w:val="SlideHeading"/>
    <w:pPr>
      <w:spacing w:after="100"/>
    </w:pPr>
    <w:rPr>
      <w:rFonts w:ascii="Aptos" w:hAnsi="Aptos"/>
      <w:b/>
      <w:color w:val="14253F"/>
      <w:sz w:val="36"/>
    </w:rPr>
  </w:style>
  <w:style w:type="paragraph" w:customStyle="1" w:styleId="BodyLead">
    <w:name w:val="BodyLead"/>
    <w:pPr>
      <w:spacing w:after="100"/>
    </w:pPr>
    <w:rPr>
      <w:rFonts w:ascii="Aptos" w:hAnsi="Aptos"/>
      <w:b w:val="0"/>
      <w:color w:val="14253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