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t xml:space="preserve">                                             </w:t>
      </w:r>
      <w:r w:rsidDel="00000000" w:rsidR="00000000" w:rsidRPr="00000000">
        <w:rPr>
          <w:b w:val="1"/>
          <w:u w:val="single"/>
          <w:rtl w:val="0"/>
        </w:rPr>
        <w:t xml:space="preserve">COVID 19 CASES ANALYSIS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PHASE 2</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Topic: Innovation in COVID-19 Cases Analysis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face of unprecedented challenges posed by the COVID-19 pandemic, innovation in data analysis is not only beneficial but essential for understanding, managing, and mitigating the impact of the virus. This section will explore various innovative approaches that can enhance the quality and depth of COVID-19 cases analysis:</w:t>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1. Advanced Data Visualization:</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   Cutting-edge data visualisation techniques have the power to transform complex COVID-19 data into accessible and engaging formats.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    Techniques such as 3D visualisations, virtual reality (VR), or augmented reality (AR) applications provide an immersive understanding of data trends.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    These advanced visualisations can help convey critical information to the public and decision-makers with unprecedented clarity, enabling more informed decision-making and timely interventions.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2. Predictive Analytics:</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numPr>
          <w:ilvl w:val="0"/>
          <w:numId w:val="11"/>
        </w:numPr>
        <w:ind w:left="720" w:hanging="360"/>
        <w:rPr>
          <w:u w:val="none"/>
        </w:rPr>
      </w:pPr>
      <w:r w:rsidDel="00000000" w:rsidR="00000000" w:rsidRPr="00000000">
        <w:rPr>
          <w:rtl w:val="0"/>
        </w:rPr>
        <w:t xml:space="preserve">    Leveraging advanced machine learning models and predictive analytics, we can go beyond historical trends to forecast future COVID-19 developments.            </w:t>
      </w:r>
    </w:p>
    <w:p w:rsidR="00000000" w:rsidDel="00000000" w:rsidP="00000000" w:rsidRDefault="00000000" w:rsidRPr="00000000" w14:paraId="00000012">
      <w:pPr>
        <w:numPr>
          <w:ilvl w:val="0"/>
          <w:numId w:val="11"/>
        </w:numPr>
        <w:ind w:left="720" w:hanging="360"/>
        <w:rPr>
          <w:u w:val="none"/>
        </w:rPr>
      </w:pPr>
      <w:r w:rsidDel="00000000" w:rsidR="00000000" w:rsidRPr="00000000">
        <w:rPr>
          <w:rtl w:val="0"/>
        </w:rPr>
        <w:t xml:space="preserve">    Models such as regression analysis, time series forecasting, or deep learning algorithms can predict case numbers, hospitalizations, and vaccination rates.</w:t>
      </w:r>
    </w:p>
    <w:p w:rsidR="00000000" w:rsidDel="00000000" w:rsidP="00000000" w:rsidRDefault="00000000" w:rsidRPr="00000000" w14:paraId="00000013">
      <w:pPr>
        <w:numPr>
          <w:ilvl w:val="0"/>
          <w:numId w:val="11"/>
        </w:numPr>
        <w:ind w:left="720" w:hanging="360"/>
        <w:rPr>
          <w:u w:val="none"/>
        </w:rPr>
      </w:pPr>
      <w:r w:rsidDel="00000000" w:rsidR="00000000" w:rsidRPr="00000000">
        <w:rPr>
          <w:rtl w:val="0"/>
        </w:rPr>
        <w:t xml:space="preserve">    These forecasts are invaluable for public health planning, enabling the allocation of resources where and when they are most needed, thus minimising the impact of the virus.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 Sentiment Analysis: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    An innovative approach to understanding the pandemic's impact on the public is sentiment analysis. </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   This involves analysing social media data to gauge public sentiment, emotions, and reactions in response to COVID-19 developments.</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     This analysis helps uncover trends in public opinion and behaviour, which can inform public health messaging, community engagement strategies, and interventions that resonate with the public.</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4. Genomic Analysis:</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    The genomic analysis focuses on understanding the genetic variants of the COVID-19 virus and their implications for transmission, virulence, and vaccine effectiveness.</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     Innovations in this area can provide real-time insights into the emergence and spread of variants, aiding in vaccine development and public health responses.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5. Healthcare Resource Allocation:</w:t>
      </w:r>
    </w:p>
    <w:p w:rsidR="00000000" w:rsidDel="00000000" w:rsidP="00000000" w:rsidRDefault="00000000" w:rsidRPr="00000000" w14:paraId="00000021">
      <w:pPr>
        <w:rPr>
          <w:b w:val="1"/>
        </w:rPr>
      </w:pPr>
      <w:r w:rsidDel="00000000" w:rsidR="00000000" w:rsidRPr="00000000">
        <w:rPr>
          <w:b w:val="1"/>
          <w:rtl w:val="0"/>
        </w:rPr>
        <w:t xml:space="preserve">                  </w:t>
      </w:r>
    </w:p>
    <w:p w:rsidR="00000000" w:rsidDel="00000000" w:rsidP="00000000" w:rsidRDefault="00000000" w:rsidRPr="00000000" w14:paraId="00000022">
      <w:pPr>
        <w:numPr>
          <w:ilvl w:val="0"/>
          <w:numId w:val="10"/>
        </w:numPr>
        <w:ind w:left="720" w:hanging="360"/>
        <w:rPr>
          <w:u w:val="none"/>
        </w:rPr>
      </w:pPr>
      <w:r w:rsidDel="00000000" w:rsidR="00000000" w:rsidRPr="00000000">
        <w:rPr>
          <w:rtl w:val="0"/>
        </w:rPr>
        <w:t xml:space="preserve">   Innovative resource allocation techniques, driven by optimization algorithms, ensure that healthcare resources are distributed efficiently based on COVID-19 case projections. </w:t>
      </w:r>
    </w:p>
    <w:p w:rsidR="00000000" w:rsidDel="00000000" w:rsidP="00000000" w:rsidRDefault="00000000" w:rsidRPr="00000000" w14:paraId="00000023">
      <w:pPr>
        <w:numPr>
          <w:ilvl w:val="0"/>
          <w:numId w:val="10"/>
        </w:numPr>
        <w:ind w:left="720" w:hanging="360"/>
        <w:rPr>
          <w:u w:val="none"/>
        </w:rPr>
      </w:pPr>
      <w:r w:rsidDel="00000000" w:rsidR="00000000" w:rsidRPr="00000000">
        <w:rPr>
          <w:rtl w:val="0"/>
        </w:rPr>
        <w:t xml:space="preserve">   These algorithms can consider factors such as ICU bed availability, ventilator requirements, and vaccine distribution.</w:t>
      </w:r>
    </w:p>
    <w:p w:rsidR="00000000" w:rsidDel="00000000" w:rsidP="00000000" w:rsidRDefault="00000000" w:rsidRPr="00000000" w14:paraId="00000024">
      <w:pPr>
        <w:numPr>
          <w:ilvl w:val="0"/>
          <w:numId w:val="10"/>
        </w:numPr>
        <w:ind w:left="720" w:hanging="360"/>
        <w:rPr>
          <w:u w:val="none"/>
        </w:rPr>
      </w:pPr>
      <w:r w:rsidDel="00000000" w:rsidR="00000000" w:rsidRPr="00000000">
        <w:rPr>
          <w:rtl w:val="0"/>
        </w:rPr>
        <w:t xml:space="preserve">    This innovation optimizes patient care and supports healthcare systems in providing the best care possible during the pandemic.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6. Community Engagement Apps: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   Innovations in mobile applications engage the community in reporting symptoms, vaccination status, and potential exposure to the virus. </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   These apps provide real-time data for analysis.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   Through the use of these apps, individuals can actively participate in data collection and receive important information, contributing to a more informed and engaged public.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7. Blockchain for Data Integrity: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2"/>
        </w:numPr>
        <w:ind w:left="720" w:hanging="360"/>
        <w:rPr>
          <w:u w:val="none"/>
        </w:rPr>
      </w:pPr>
      <w:r w:rsidDel="00000000" w:rsidR="00000000" w:rsidRPr="00000000">
        <w:rPr>
          <w:rtl w:val="0"/>
        </w:rPr>
        <w:t xml:space="preserve">   Blockchain technology, with its inherent security and transparency, safeguards the integrity of COVID-19 data. </w:t>
      </w:r>
    </w:p>
    <w:p w:rsidR="00000000" w:rsidDel="00000000" w:rsidP="00000000" w:rsidRDefault="00000000" w:rsidRPr="00000000" w14:paraId="0000002F">
      <w:pPr>
        <w:numPr>
          <w:ilvl w:val="0"/>
          <w:numId w:val="12"/>
        </w:numPr>
        <w:ind w:left="720" w:hanging="360"/>
        <w:rPr>
          <w:u w:val="none"/>
        </w:rPr>
      </w:pPr>
      <w:r w:rsidDel="00000000" w:rsidR="00000000" w:rsidRPr="00000000">
        <w:rPr>
          <w:rtl w:val="0"/>
        </w:rPr>
        <w:t xml:space="preserve">   It ensures data is tamper-proof, providing a reliable source of statistics.</w:t>
      </w:r>
    </w:p>
    <w:p w:rsidR="00000000" w:rsidDel="00000000" w:rsidP="00000000" w:rsidRDefault="00000000" w:rsidRPr="00000000" w14:paraId="00000030">
      <w:pPr>
        <w:numPr>
          <w:ilvl w:val="0"/>
          <w:numId w:val="12"/>
        </w:numPr>
        <w:ind w:left="720" w:hanging="360"/>
        <w:rPr>
          <w:u w:val="none"/>
        </w:rPr>
      </w:pPr>
      <w:r w:rsidDel="00000000" w:rsidR="00000000" w:rsidRPr="00000000">
        <w:rPr>
          <w:rtl w:val="0"/>
        </w:rPr>
        <w:t xml:space="preserve">   Beyond data integrity, blockchain can also be used to secure digital vaccine passports and other applications in the fight against the virus.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8. AI Chatbots: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   AI-powered chatbots offer real-time information, answer common questions, and assist users in finding testing and vaccination centres. </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    These chatbots are available around the clock, providing immediate assistance.</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    Their scalability and availability have proven to be a valuable asset in disseminating critical information and easing the burden on healthcare hotlines.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9. Data Fusion: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    Data fusion techniques combine diverse datasets, including weather data, mobility data, and economic indicators, with COVID-19 data. </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     This approach identifies correlations and causations that may not be evident from individual datasets.</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     These insights have profound policy implications, enabling targeted interventions and lockdown measures.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10. Remote Monitoring: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3"/>
        </w:numPr>
        <w:ind w:left="720" w:hanging="360"/>
        <w:rPr>
          <w:u w:val="none"/>
        </w:rPr>
      </w:pPr>
      <w:r w:rsidDel="00000000" w:rsidR="00000000" w:rsidRPr="00000000">
        <w:rPr>
          <w:rtl w:val="0"/>
        </w:rPr>
        <w:t xml:space="preserve">    Innovations in remote monitoring include wearable devices and IoT solutions that collect vital health data from COVID-19 patients or individuals in quarantine.</w:t>
      </w:r>
    </w:p>
    <w:p w:rsidR="00000000" w:rsidDel="00000000" w:rsidP="00000000" w:rsidRDefault="00000000" w:rsidRPr="00000000" w14:paraId="00000041">
      <w:pPr>
        <w:numPr>
          <w:ilvl w:val="0"/>
          <w:numId w:val="13"/>
        </w:numPr>
        <w:ind w:left="720" w:hanging="360"/>
        <w:rPr>
          <w:u w:val="none"/>
        </w:rPr>
      </w:pPr>
      <w:r w:rsidDel="00000000" w:rsidR="00000000" w:rsidRPr="00000000">
        <w:rPr>
          <w:rtl w:val="0"/>
        </w:rPr>
        <w:t xml:space="preserve">    These devices send alerts when critical health conditions are detected.</w:t>
      </w:r>
    </w:p>
    <w:p w:rsidR="00000000" w:rsidDel="00000000" w:rsidP="00000000" w:rsidRDefault="00000000" w:rsidRPr="00000000" w14:paraId="00000042">
      <w:pPr>
        <w:numPr>
          <w:ilvl w:val="0"/>
          <w:numId w:val="13"/>
        </w:numPr>
        <w:ind w:left="720" w:hanging="360"/>
        <w:rPr>
          <w:u w:val="none"/>
        </w:rPr>
      </w:pPr>
      <w:r w:rsidDel="00000000" w:rsidR="00000000" w:rsidRPr="00000000">
        <w:rPr>
          <w:rtl w:val="0"/>
        </w:rPr>
        <w:t xml:space="preserve">     They enable early intervention and reduce the burden on healthcare facilities, ultimately saving lives.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11. Early Warning Systems: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    AI-driven early warning systems predict COVID-19 outbreaks at the community level, allowing for targeted interventions and proactive measures. </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     The accuracy and timeliness of these systems are groundbreaking.</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     Their cost-effectiveness and ability to prevent outbreaks make them a vital tool in the battle against the virus.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12. Privacy-Preserving Solutions: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    Privacy and security are paramount, especially when dealing with sensitive health data. </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    Innovative solutions ensure that data is handled securely, adhering to privacy regulations.</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    These privacy-preserving solutions build trust among the public and protect sensitive health information.</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13. Collaboration with Experts: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   Collaborating with experts in epidemiology, healthcare, and data science ensures that innovative approaches are grounded in scientific rigour. </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     Such collaboration enhances the credibility and reliability of your analysis.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It's a testament to the interdisciplinary nature of the COVID-19 response, combining diverse expertise to address this global challenge.Incorporating these innovative approaches into our COVID-19 cases analysis not only amplifies our understanding of the pandemic but also equips us with the tools to respond effectively, protect public health, and ultimately overcome this unprecedented global challenge.</w:t>
      </w:r>
    </w:p>
    <w:p w:rsidR="00000000" w:rsidDel="00000000" w:rsidP="00000000" w:rsidRDefault="00000000" w:rsidRPr="00000000" w14:paraId="00000057">
      <w:pPr>
        <w:rPr>
          <w:sz w:val="90"/>
          <w:szCs w:val="9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