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TEST STRATEGY DOCUMENT</w:t>
      </w:r>
    </w:p>
    <w:p>
      <w:pPr>
        <w:spacing w:after="200" w:before="0"/>
        <w:jc w:val="center"/>
      </w:pPr>
      <w:r>
        <w:rPr>
          <w:rFonts w:ascii="Arial" w:cs="Arial" w:eastAsia="Arial" w:hAnsi="Arial"/>
          <w:b/>
          <w:bCs/>
          <w:color w:val="2E75B6"/>
          <w:sz w:val="36"/>
          <w:szCs w:val="36"/>
        </w:rPr>
        <w:t xml:space="preserve">Electronic Health Records (EHR) System</w:t>
      </w:r>
    </w:p>
    <w:p>
      <w:pPr>
        <w:pBdr>
          <w:bottom w:val="single" w:color="2E75B6" w:sz="8" w:space="6"/>
        </w:pBdr>
        <w:spacing w:after="800" w:before="0"/>
        <w:jc w:val="center"/>
      </w:pPr>
      <w:r>
        <w:rPr>
          <w:rFonts w:ascii="Arial" w:cs="Arial" w:eastAsia="Arial" w:hAnsi="Arial"/>
          <w:color w:val="555555"/>
          <w:sz w:val="28"/>
          <w:szCs w:val="28"/>
        </w:rPr>
        <w:t xml:space="preserve">Healthcare Domain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BBBBBB" w:sz="1"/>
              <w:left w:val="single" w:color="BBBBBB" w:sz="1"/>
              <w:bottom w:val="single" w:color="BBBBBB" w:sz="1"/>
              <w:right w:val="single" w:color="BBBBBB" w:sz="1"/>
            </w:tcBorders>
            <w:shd w:fill="D5E8F0" w:val="clear"/>
            <w:tcMar>
              <w:top w:type="dxa" w:w="100"/>
              <w:left w:type="dxa" w:w="130"/>
              <w:bottom w:type="dxa" w:w="100"/>
              <w:right w:type="dxa" w:w="130"/>
            </w:tcMar>
          </w:tcPr>
          <w:p>
            <w:r>
              <w:rPr>
                <w:rFonts w:ascii="Arial" w:cs="Arial" w:eastAsia="Arial" w:hAnsi="Arial"/>
                <w:b/>
                <w:bCs/>
                <w:sz w:val="20"/>
                <w:szCs w:val="20"/>
              </w:rPr>
              <w:t xml:space="preserve">Document Version</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sz w:val="20"/>
                <w:szCs w:val="20"/>
              </w:rPr>
              <w:t xml:space="preserve">1.0</w:t>
            </w:r>
          </w:p>
        </w:tc>
      </w:tr>
      <w:tr>
        <w:tc>
          <w:tcPr>
            <w:tcW w:type="dxa" w:w="2600"/>
            <w:tcBorders>
              <w:top w:val="single" w:color="BBBBBB" w:sz="1"/>
              <w:left w:val="single" w:color="BBBBBB" w:sz="1"/>
              <w:bottom w:val="single" w:color="BBBBBB" w:sz="1"/>
              <w:right w:val="single" w:color="BBBBBB" w:sz="1"/>
            </w:tcBorders>
            <w:shd w:fill="D5E8F0" w:val="clear"/>
            <w:tcMar>
              <w:top w:type="dxa" w:w="100"/>
              <w:left w:type="dxa" w:w="130"/>
              <w:bottom w:type="dxa" w:w="100"/>
              <w:right w:type="dxa" w:w="130"/>
            </w:tcMar>
          </w:tcPr>
          <w:p>
            <w:r>
              <w:rPr>
                <w:rFonts w:ascii="Arial" w:cs="Arial" w:eastAsia="Arial" w:hAnsi="Arial"/>
                <w:b/>
                <w:bCs/>
                <w:sz w:val="20"/>
                <w:szCs w:val="20"/>
              </w:rPr>
              <w:t xml:space="preserve">Prepared By</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sz w:val="20"/>
                <w:szCs w:val="20"/>
              </w:rPr>
              <w:t xml:space="preserve">SDET / QA Team</w:t>
            </w:r>
          </w:p>
        </w:tc>
      </w:tr>
      <w:tr>
        <w:tc>
          <w:tcPr>
            <w:tcW w:type="dxa" w:w="2600"/>
            <w:tcBorders>
              <w:top w:val="single" w:color="BBBBBB" w:sz="1"/>
              <w:left w:val="single" w:color="BBBBBB" w:sz="1"/>
              <w:bottom w:val="single" w:color="BBBBBB" w:sz="1"/>
              <w:right w:val="single" w:color="BBBBBB" w:sz="1"/>
            </w:tcBorders>
            <w:shd w:fill="D5E8F0" w:val="clear"/>
            <w:tcMar>
              <w:top w:type="dxa" w:w="100"/>
              <w:left w:type="dxa" w:w="130"/>
              <w:bottom w:type="dxa" w:w="100"/>
              <w:right w:type="dxa" w:w="130"/>
            </w:tcMar>
          </w:tcPr>
          <w:p>
            <w:r>
              <w:rPr>
                <w:rFonts w:ascii="Arial" w:cs="Arial" w:eastAsia="Arial" w:hAnsi="Arial"/>
                <w:b/>
                <w:bCs/>
                <w:sz w:val="20"/>
                <w:szCs w:val="20"/>
              </w:rPr>
              <w:t xml:space="preserve">Date</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sz w:val="20"/>
                <w:szCs w:val="20"/>
              </w:rPr>
              <w:t xml:space="preserve">May 15, 2026</w:t>
            </w:r>
          </w:p>
        </w:tc>
      </w:tr>
      <w:tr>
        <w:tc>
          <w:tcPr>
            <w:tcW w:type="dxa" w:w="2600"/>
            <w:tcBorders>
              <w:top w:val="single" w:color="BBBBBB" w:sz="1"/>
              <w:left w:val="single" w:color="BBBBBB" w:sz="1"/>
              <w:bottom w:val="single" w:color="BBBBBB" w:sz="1"/>
              <w:right w:val="single" w:color="BBBBBB" w:sz="1"/>
            </w:tcBorders>
            <w:shd w:fill="D5E8F0" w:val="clear"/>
            <w:tcMar>
              <w:top w:type="dxa" w:w="100"/>
              <w:left w:type="dxa" w:w="130"/>
              <w:bottom w:type="dxa" w:w="100"/>
              <w:right w:type="dxa" w:w="130"/>
            </w:tcMar>
          </w:tcPr>
          <w:p>
            <w:r>
              <w:rPr>
                <w:rFonts w:ascii="Arial" w:cs="Arial" w:eastAsia="Arial" w:hAnsi="Arial"/>
                <w:b/>
                <w:bCs/>
                <w:sz w:val="20"/>
                <w:szCs w:val="20"/>
              </w:rPr>
              <w:t xml:space="preserve">Status</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sz w:val="20"/>
                <w:szCs w:val="20"/>
              </w:rPr>
              <w:t xml:space="preserve">Approved</w:t>
            </w:r>
          </w:p>
        </w:tc>
      </w:tr>
      <w:tr>
        <w:tc>
          <w:tcPr>
            <w:tcW w:type="dxa" w:w="2600"/>
            <w:tcBorders>
              <w:top w:val="single" w:color="BBBBBB" w:sz="1"/>
              <w:left w:val="single" w:color="BBBBBB" w:sz="1"/>
              <w:bottom w:val="single" w:color="BBBBBB" w:sz="1"/>
              <w:right w:val="single" w:color="BBBBBB" w:sz="1"/>
            </w:tcBorders>
            <w:shd w:fill="D5E8F0" w:val="clear"/>
            <w:tcMar>
              <w:top w:type="dxa" w:w="100"/>
              <w:left w:type="dxa" w:w="130"/>
              <w:bottom w:type="dxa" w:w="100"/>
              <w:right w:type="dxa" w:w="130"/>
            </w:tcMar>
          </w:tcPr>
          <w:p>
            <w:r>
              <w:rPr>
                <w:rFonts w:ascii="Arial" w:cs="Arial" w:eastAsia="Arial" w:hAnsi="Arial"/>
                <w:b/>
                <w:bCs/>
                <w:sz w:val="20"/>
                <w:szCs w:val="20"/>
              </w:rPr>
              <w:t xml:space="preserve">SDLC Methodology</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sz w:val="20"/>
                <w:szCs w:val="20"/>
              </w:rPr>
              <w:t xml:space="preserve">Agile / Scrum (2-Week Sprints)</w:t>
            </w:r>
          </w:p>
        </w:tc>
      </w:tr>
      <w:tr>
        <w:tc>
          <w:tcPr>
            <w:tcW w:type="dxa" w:w="2600"/>
            <w:tcBorders>
              <w:top w:val="single" w:color="BBBBBB" w:sz="1"/>
              <w:left w:val="single" w:color="BBBBBB" w:sz="1"/>
              <w:bottom w:val="single" w:color="BBBBBB" w:sz="1"/>
              <w:right w:val="single" w:color="BBBBBB" w:sz="1"/>
            </w:tcBorders>
            <w:shd w:fill="D5E8F0" w:val="clear"/>
            <w:tcMar>
              <w:top w:type="dxa" w:w="100"/>
              <w:left w:type="dxa" w:w="130"/>
              <w:bottom w:type="dxa" w:w="100"/>
              <w:right w:type="dxa" w:w="130"/>
            </w:tcMar>
          </w:tcPr>
          <w:p>
            <w:r>
              <w:rPr>
                <w:rFonts w:ascii="Arial" w:cs="Arial" w:eastAsia="Arial" w:hAnsi="Arial"/>
                <w:b/>
                <w:bCs/>
                <w:sz w:val="20"/>
                <w:szCs w:val="20"/>
              </w:rPr>
              <w:t xml:space="preserve">Project</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tcPr>
          <w:p>
            <w:r>
              <w:rPr>
                <w:rFonts w:ascii="Arial" w:cs="Arial" w:eastAsia="Arial" w:hAnsi="Arial"/>
                <w:sz w:val="20"/>
                <w:szCs w:val="20"/>
              </w:rPr>
              <w:t xml:space="preserve">EHR System - Healthcare Domain</w:t>
            </w:r>
          </w:p>
        </w:tc>
      </w:tr>
    </w:tbl>
    <w:p>
      <w:pPr>
        <w:spacing w:after="0" w:before="0"/>
      </w:pPr>
      <w:r>
        <w:rPr>
          <w:sz w:val="24"/>
          <w:szCs w:val="24"/>
        </w:rPr>
        <w:t xml:space="preserve"/>
      </w:r>
    </w:p>
    <w:p>
      <w:pPr>
        <w:jc w:val="center"/>
      </w:pPr>
      <w:r>
        <w:rPr>
          <w:rFonts w:ascii="Arial" w:cs="Arial" w:eastAsia="Arial" w:hAnsi="Arial"/>
          <w:b/>
          <w:bCs/>
          <w:color w:val="CC0000"/>
          <w:sz w:val="18"/>
          <w:szCs w:val="18"/>
        </w:rPr>
        <w:t xml:space="preserve">CONFIDENTIAL — FOR INTERNAL USE ONLY</w:t>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1. Introduction</w:t>
      </w:r>
    </w:p>
    <w:p>
      <w:pPr>
        <w:pStyle w:val="Heading2"/>
        <w:spacing w:after="120" w:before="240"/>
      </w:pPr>
      <w:r>
        <w:rPr>
          <w:rFonts w:ascii="Arial" w:cs="Arial" w:eastAsia="Arial" w:hAnsi="Arial"/>
          <w:b/>
          <w:bCs/>
          <w:color w:val="2E75B6"/>
          <w:sz w:val="24"/>
          <w:szCs w:val="24"/>
        </w:rPr>
        <w:t xml:space="preserve">1.1 Purpose</w:t>
      </w:r>
    </w:p>
    <w:p>
      <w:pPr>
        <w:spacing w:after="80" w:before="80"/>
      </w:pPr>
      <w:r>
        <w:rPr>
          <w:rFonts w:ascii="Arial" w:cs="Arial" w:eastAsia="Arial" w:hAnsi="Arial"/>
          <w:sz w:val="22"/>
          <w:szCs w:val="22"/>
        </w:rPr>
        <w:t xml:space="preserve">This Test Strategy Document defines the overall approach, scope, objectives, and methodology for quality assurance of the Electronic Health Records (EHR) System. It serves as the governing document for all testing activities conducted within the Agile/Scrum development lifecycle, ensuring the EHR platform meets functional correctness, regulatory compliance, security, performance, and integration requirements.</w:t>
      </w:r>
    </w:p>
    <w:p>
      <w:pPr>
        <w:spacing w:after="0" w:before="0"/>
      </w:pPr>
      <w:r>
        <w:rPr>
          <w:sz w:val="12"/>
          <w:szCs w:val="12"/>
        </w:rPr>
        <w:t xml:space="preserve"/>
      </w:r>
    </w:p>
    <w:p>
      <w:pPr>
        <w:pStyle w:val="Heading2"/>
        <w:spacing w:after="120" w:before="240"/>
      </w:pPr>
      <w:r>
        <w:rPr>
          <w:rFonts w:ascii="Arial" w:cs="Arial" w:eastAsia="Arial" w:hAnsi="Arial"/>
          <w:b/>
          <w:bCs/>
          <w:color w:val="2E75B6"/>
          <w:sz w:val="24"/>
          <w:szCs w:val="24"/>
        </w:rPr>
        <w:t xml:space="preserve">1.2 Scope</w:t>
      </w:r>
    </w:p>
    <w:p>
      <w:pPr>
        <w:spacing w:after="80" w:before="80"/>
      </w:pPr>
      <w:r>
        <w:rPr>
          <w:rFonts w:ascii="Arial" w:cs="Arial" w:eastAsia="Arial" w:hAnsi="Arial"/>
          <w:sz w:val="22"/>
          <w:szCs w:val="22"/>
        </w:rPr>
        <w:t xml:space="preserve">This strategy covers all testing phases for the EHR System, including:</w:t>
      </w:r>
    </w:p>
    <w:p>
      <w:pPr>
        <w:pStyle w:val="ListParagraph"/>
        <w:numPr>
          <w:ilvl w:val="0"/>
          <w:numId w:val="2"/>
        </w:numPr>
        <w:spacing w:after="60" w:before="60"/>
      </w:pPr>
      <w:r>
        <w:rPr>
          <w:rFonts w:ascii="Arial" w:cs="Arial" w:eastAsia="Arial" w:hAnsi="Arial"/>
          <w:b w:val="false"/>
          <w:bCs w:val="false"/>
          <w:sz w:val="22"/>
          <w:szCs w:val="22"/>
        </w:rPr>
        <w:t xml:space="preserve">Clinical data management modules (patient demographics, clinical notes, prescriptions, lab results)</w:t>
      </w:r>
    </w:p>
    <w:p>
      <w:pPr>
        <w:pStyle w:val="ListParagraph"/>
        <w:numPr>
          <w:ilvl w:val="0"/>
          <w:numId w:val="2"/>
        </w:numPr>
        <w:spacing w:after="60" w:before="60"/>
      </w:pPr>
      <w:r>
        <w:rPr>
          <w:rFonts w:ascii="Arial" w:cs="Arial" w:eastAsia="Arial" w:hAnsi="Arial"/>
          <w:b w:val="false"/>
          <w:bCs w:val="false"/>
          <w:sz w:val="22"/>
          <w:szCs w:val="22"/>
        </w:rPr>
        <w:t xml:space="preserve">Provider and administrator portal functionality</w:t>
      </w:r>
    </w:p>
    <w:p>
      <w:pPr>
        <w:pStyle w:val="ListParagraph"/>
        <w:numPr>
          <w:ilvl w:val="0"/>
          <w:numId w:val="2"/>
        </w:numPr>
        <w:spacing w:after="60" w:before="60"/>
      </w:pPr>
      <w:r>
        <w:rPr>
          <w:rFonts w:ascii="Arial" w:cs="Arial" w:eastAsia="Arial" w:hAnsi="Arial"/>
          <w:b w:val="false"/>
          <w:bCs w:val="false"/>
          <w:sz w:val="22"/>
          <w:szCs w:val="22"/>
        </w:rPr>
        <w:t xml:space="preserve">Third-party integrations (HL7/FHIR-compliant interfaces, lab systems, pharmacy networks)</w:t>
      </w:r>
    </w:p>
    <w:p>
      <w:pPr>
        <w:pStyle w:val="ListParagraph"/>
        <w:numPr>
          <w:ilvl w:val="0"/>
          <w:numId w:val="2"/>
        </w:numPr>
        <w:spacing w:after="60" w:before="60"/>
      </w:pPr>
      <w:r>
        <w:rPr>
          <w:rFonts w:ascii="Arial" w:cs="Arial" w:eastAsia="Arial" w:hAnsi="Arial"/>
          <w:b w:val="false"/>
          <w:bCs w:val="false"/>
          <w:sz w:val="22"/>
          <w:szCs w:val="22"/>
        </w:rPr>
        <w:t xml:space="preserve">Data security, privacy, and HIPAA compliance controls</w:t>
      </w:r>
    </w:p>
    <w:p>
      <w:pPr>
        <w:pStyle w:val="ListParagraph"/>
        <w:numPr>
          <w:ilvl w:val="0"/>
          <w:numId w:val="2"/>
        </w:numPr>
        <w:spacing w:after="60" w:before="60"/>
      </w:pPr>
      <w:r>
        <w:rPr>
          <w:rFonts w:ascii="Arial" w:cs="Arial" w:eastAsia="Arial" w:hAnsi="Arial"/>
          <w:b w:val="false"/>
          <w:bCs w:val="false"/>
          <w:sz w:val="22"/>
          <w:szCs w:val="22"/>
        </w:rPr>
        <w:t xml:space="preserve">Performance and scalability under production-representative load</w:t>
      </w:r>
    </w:p>
    <w:p>
      <w:pPr>
        <w:spacing w:after="0" w:before="0"/>
      </w:pPr>
      <w:r>
        <w:rPr>
          <w:sz w:val="12"/>
          <w:szCs w:val="12"/>
        </w:rPr>
        <w:t xml:space="preserve"/>
      </w:r>
    </w:p>
    <w:p>
      <w:pPr>
        <w:pStyle w:val="Heading2"/>
        <w:spacing w:after="120" w:before="240"/>
      </w:pPr>
      <w:r>
        <w:rPr>
          <w:rFonts w:ascii="Arial" w:cs="Arial" w:eastAsia="Arial" w:hAnsi="Arial"/>
          <w:b/>
          <w:bCs/>
          <w:color w:val="2E75B6"/>
          <w:sz w:val="24"/>
          <w:szCs w:val="24"/>
        </w:rPr>
        <w:t xml:space="preserve">1.3 Objectives</w:t>
      </w:r>
    </w:p>
    <w:p>
      <w:pPr>
        <w:pStyle w:val="ListParagraph"/>
        <w:numPr>
          <w:ilvl w:val="0"/>
          <w:numId w:val="2"/>
        </w:numPr>
        <w:spacing w:after="60" w:before="60"/>
      </w:pPr>
      <w:r>
        <w:rPr>
          <w:rFonts w:ascii="Arial" w:cs="Arial" w:eastAsia="Arial" w:hAnsi="Arial"/>
          <w:b w:val="false"/>
          <w:bCs w:val="false"/>
          <w:sz w:val="22"/>
          <w:szCs w:val="22"/>
        </w:rPr>
        <w:t xml:space="preserve">Validate that all functional requirements are correctly implemented and verifiable</w:t>
      </w:r>
    </w:p>
    <w:p>
      <w:pPr>
        <w:pStyle w:val="ListParagraph"/>
        <w:numPr>
          <w:ilvl w:val="0"/>
          <w:numId w:val="2"/>
        </w:numPr>
        <w:spacing w:after="60" w:before="60"/>
      </w:pPr>
      <w:r>
        <w:rPr>
          <w:rFonts w:ascii="Arial" w:cs="Arial" w:eastAsia="Arial" w:hAnsi="Arial"/>
          <w:b w:val="false"/>
          <w:bCs w:val="false"/>
          <w:sz w:val="22"/>
          <w:szCs w:val="22"/>
        </w:rPr>
        <w:t xml:space="preserve">Ensure compliance with HIPAA, FDA 21 CFR Part 11, HL7/FHIR, and GDPR regulations</w:t>
      </w:r>
    </w:p>
    <w:p>
      <w:pPr>
        <w:pStyle w:val="ListParagraph"/>
        <w:numPr>
          <w:ilvl w:val="0"/>
          <w:numId w:val="2"/>
        </w:numPr>
        <w:spacing w:after="60" w:before="60"/>
      </w:pPr>
      <w:r>
        <w:rPr>
          <w:rFonts w:ascii="Arial" w:cs="Arial" w:eastAsia="Arial" w:hAnsi="Arial"/>
          <w:b w:val="false"/>
          <w:bCs w:val="false"/>
          <w:sz w:val="22"/>
          <w:szCs w:val="22"/>
        </w:rPr>
        <w:t xml:space="preserve">Identify and mitigate security vulnerabilities protecting Protected Health Information (PHI)</w:t>
      </w:r>
    </w:p>
    <w:p>
      <w:pPr>
        <w:pStyle w:val="ListParagraph"/>
        <w:numPr>
          <w:ilvl w:val="0"/>
          <w:numId w:val="2"/>
        </w:numPr>
        <w:spacing w:after="60" w:before="60"/>
      </w:pPr>
      <w:r>
        <w:rPr>
          <w:rFonts w:ascii="Arial" w:cs="Arial" w:eastAsia="Arial" w:hAnsi="Arial"/>
          <w:b w:val="false"/>
          <w:bCs w:val="false"/>
          <w:sz w:val="22"/>
          <w:szCs w:val="22"/>
        </w:rPr>
        <w:t xml:space="preserve">Verify system performance meets defined SLAs under peak clinical load</w:t>
      </w:r>
    </w:p>
    <w:p>
      <w:pPr>
        <w:pStyle w:val="ListParagraph"/>
        <w:numPr>
          <w:ilvl w:val="0"/>
          <w:numId w:val="2"/>
        </w:numPr>
        <w:spacing w:after="60" w:before="60"/>
      </w:pPr>
      <w:r>
        <w:rPr>
          <w:rFonts w:ascii="Arial" w:cs="Arial" w:eastAsia="Arial" w:hAnsi="Arial"/>
          <w:b w:val="false"/>
          <w:bCs w:val="false"/>
          <w:sz w:val="22"/>
          <w:szCs w:val="22"/>
        </w:rPr>
        <w:t xml:space="preserve">Confirm seamless end-to-end integration across all system interfaces</w:t>
      </w:r>
    </w:p>
    <w:p>
      <w:pPr>
        <w:pStyle w:val="ListParagraph"/>
        <w:numPr>
          <w:ilvl w:val="0"/>
          <w:numId w:val="2"/>
        </w:numPr>
        <w:spacing w:after="60" w:before="60"/>
      </w:pPr>
      <w:r>
        <w:rPr>
          <w:rFonts w:ascii="Arial" w:cs="Arial" w:eastAsia="Arial" w:hAnsi="Arial"/>
          <w:b w:val="false"/>
          <w:bCs w:val="false"/>
          <w:sz w:val="22"/>
          <w:szCs w:val="22"/>
        </w:rPr>
        <w:t xml:space="preserve">Achieve and maintain a minimum of 85% automated test coverage for regression suites</w:t>
      </w:r>
    </w:p>
    <w:p>
      <w:pPr>
        <w:spacing w:after="0" w:before="0"/>
      </w:pPr>
      <w:r>
        <w:rPr>
          <w:sz w:val="12"/>
          <w:szCs w:val="12"/>
        </w:rPr>
        <w:t xml:space="preserve"/>
      </w:r>
    </w:p>
    <w:p>
      <w:pPr>
        <w:pStyle w:val="Heading2"/>
        <w:spacing w:after="120" w:before="240"/>
      </w:pPr>
      <w:r>
        <w:rPr>
          <w:rFonts w:ascii="Arial" w:cs="Arial" w:eastAsia="Arial" w:hAnsi="Arial"/>
          <w:b/>
          <w:bCs/>
          <w:color w:val="2E75B6"/>
          <w:sz w:val="24"/>
          <w:szCs w:val="24"/>
        </w:rPr>
        <w:t xml:space="preserve">1.4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Stakeholder</w:t>
            </w:r>
          </w:p>
        </w:tc>
        <w:tc>
          <w:tcPr>
            <w:tcW w:type="dxa" w:w="28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Role</w:t>
            </w:r>
          </w:p>
        </w:tc>
        <w:tc>
          <w:tcPr>
            <w:tcW w:type="dxa" w:w="37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Responsibility</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Product Owner</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Business</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Requirements sign-off, UAT approval</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SDET Lead</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QA</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Test strategy ownership, tooling governance</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Dev Lead</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Engineering</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Code review, defect triage, CI integration</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Compliance Officer</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Regulatory</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HIPAA/FDA audit, compliance sign-off</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Security Architect</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Security</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Penetration testing oversight, vulnerability review</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Release Manager</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Operations</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Go/No-Go decision, release coordination</w:t>
            </w:r>
          </w:p>
        </w:tc>
      </w:tr>
    </w:tbl>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2. Test Approach</w:t>
      </w:r>
    </w:p>
    <w:p>
      <w:pPr>
        <w:pStyle w:val="Heading2"/>
        <w:spacing w:after="120" w:before="240"/>
      </w:pPr>
      <w:r>
        <w:rPr>
          <w:rFonts w:ascii="Arial" w:cs="Arial" w:eastAsia="Arial" w:hAnsi="Arial"/>
          <w:b/>
          <w:bCs/>
          <w:color w:val="2E75B6"/>
          <w:sz w:val="24"/>
          <w:szCs w:val="24"/>
        </w:rPr>
        <w:t xml:space="preserve">2.1 Testing Methodology</w:t>
      </w:r>
    </w:p>
    <w:p>
      <w:pPr>
        <w:spacing w:after="80" w:before="80"/>
      </w:pPr>
      <w:r>
        <w:rPr>
          <w:rFonts w:ascii="Arial" w:cs="Arial" w:eastAsia="Arial" w:hAnsi="Arial"/>
          <w:sz w:val="22"/>
          <w:szCs w:val="22"/>
        </w:rPr>
        <w:t xml:space="preserve">The testing strategy adopts a Risk-Based Testing (RBT) approach integrated within the Agile/Scrum framework. Testing begins at the earliest stages (Shift-Left) and continues through each sprint to production release. Each sprint cycle includes story-level test design, sprint regression, and integration validation.</w:t>
      </w:r>
    </w:p>
    <w:p>
      <w:pPr>
        <w:spacing w:after="0" w:before="0"/>
      </w:pPr>
      <w:r>
        <w:rPr>
          <w:sz w:val="12"/>
          <w:szCs w:val="12"/>
        </w:rPr>
        <w:t xml:space="preserve"/>
      </w:r>
    </w:p>
    <w:p>
      <w:pPr>
        <w:pStyle w:val="Heading2"/>
        <w:spacing w:after="120" w:before="240"/>
      </w:pPr>
      <w:r>
        <w:rPr>
          <w:rFonts w:ascii="Arial" w:cs="Arial" w:eastAsia="Arial" w:hAnsi="Arial"/>
          <w:b/>
          <w:bCs/>
          <w:color w:val="2E75B6"/>
          <w:sz w:val="24"/>
          <w:szCs w:val="24"/>
        </w:rPr>
        <w:t xml:space="preserve">2.2 Testing Types and Coverage</w:t>
      </w:r>
    </w:p>
    <w:p>
      <w:pPr>
        <w:pStyle w:val="Heading3"/>
        <w:spacing w:after="80" w:before="160"/>
      </w:pPr>
      <w:r>
        <w:rPr>
          <w:rFonts w:ascii="Arial" w:cs="Arial" w:eastAsia="Arial" w:hAnsi="Arial"/>
          <w:b/>
          <w:bCs/>
          <w:color w:val="1F4E79"/>
          <w:sz w:val="22"/>
          <w:szCs w:val="22"/>
        </w:rPr>
        <w:t xml:space="preserve">2.2.1 Functional &amp; Regression Testing</w:t>
      </w:r>
    </w:p>
    <w:p>
      <w:pPr>
        <w:spacing w:after="80" w:before="80"/>
      </w:pPr>
      <w:r>
        <w:rPr>
          <w:rFonts w:ascii="Arial" w:cs="Arial" w:eastAsia="Arial" w:hAnsi="Arial"/>
          <w:sz w:val="22"/>
          <w:szCs w:val="22"/>
        </w:rPr>
        <w:t xml:space="preserve">Functional testing validates business requirements, clinical workflows, and system behavior against acceptance criteria defined in user stories. Regression testing ensures no existing functionality is degraded across sprint increments.</w:t>
      </w:r>
    </w:p>
    <w:p>
      <w:pPr>
        <w:pStyle w:val="ListParagraph"/>
        <w:numPr>
          <w:ilvl w:val="0"/>
          <w:numId w:val="2"/>
        </w:numPr>
        <w:spacing w:after="60" w:before="60"/>
      </w:pPr>
      <w:r>
        <w:rPr>
          <w:rFonts w:ascii="Arial" w:cs="Arial" w:eastAsia="Arial" w:hAnsi="Arial"/>
          <w:b w:val="false"/>
          <w:bCs w:val="false"/>
          <w:sz w:val="22"/>
          <w:szCs w:val="22"/>
        </w:rPr>
        <w:t xml:space="preserve">Story-level functional verification in each sprint</w:t>
      </w:r>
    </w:p>
    <w:p>
      <w:pPr>
        <w:pStyle w:val="ListParagraph"/>
        <w:numPr>
          <w:ilvl w:val="0"/>
          <w:numId w:val="2"/>
        </w:numPr>
        <w:spacing w:after="60" w:before="60"/>
      </w:pPr>
      <w:r>
        <w:rPr>
          <w:rFonts w:ascii="Arial" w:cs="Arial" w:eastAsia="Arial" w:hAnsi="Arial"/>
          <w:b w:val="false"/>
          <w:bCs w:val="false"/>
          <w:sz w:val="22"/>
          <w:szCs w:val="22"/>
        </w:rPr>
        <w:t xml:space="preserve">Automated regression suite executed on every CI build</w:t>
      </w:r>
    </w:p>
    <w:p>
      <w:pPr>
        <w:pStyle w:val="ListParagraph"/>
        <w:numPr>
          <w:ilvl w:val="0"/>
          <w:numId w:val="2"/>
        </w:numPr>
        <w:spacing w:after="60" w:before="60"/>
      </w:pPr>
      <w:r>
        <w:rPr>
          <w:rFonts w:ascii="Arial" w:cs="Arial" w:eastAsia="Arial" w:hAnsi="Arial"/>
          <w:b w:val="false"/>
          <w:bCs w:val="false"/>
          <w:sz w:val="22"/>
          <w:szCs w:val="22"/>
        </w:rPr>
        <w:t xml:space="preserve">Full regression cycle prior to each sprint release</w:t>
      </w:r>
    </w:p>
    <w:p>
      <w:pPr>
        <w:pStyle w:val="ListParagraph"/>
        <w:numPr>
          <w:ilvl w:val="0"/>
          <w:numId w:val="2"/>
        </w:numPr>
        <w:spacing w:after="60" w:before="60"/>
      </w:pPr>
      <w:r>
        <w:rPr>
          <w:rFonts w:ascii="Arial" w:cs="Arial" w:eastAsia="Arial" w:hAnsi="Arial"/>
          <w:b w:val="false"/>
          <w:bCs w:val="false"/>
          <w:sz w:val="22"/>
          <w:szCs w:val="22"/>
        </w:rPr>
        <w:t xml:space="preserve">Exploratory testing for edge cases and usability gaps</w:t>
      </w:r>
    </w:p>
    <w:p>
      <w:pPr>
        <w:spacing w:after="0" w:before="0"/>
      </w:pPr>
      <w:r>
        <w:rPr>
          <w:sz w:val="12"/>
          <w:szCs w:val="12"/>
        </w:rPr>
        <w:t xml:space="preserve"/>
      </w:r>
    </w:p>
    <w:p>
      <w:pPr>
        <w:pStyle w:val="Heading3"/>
        <w:spacing w:after="80" w:before="160"/>
      </w:pPr>
      <w:r>
        <w:rPr>
          <w:rFonts w:ascii="Arial" w:cs="Arial" w:eastAsia="Arial" w:hAnsi="Arial"/>
          <w:b/>
          <w:bCs/>
          <w:color w:val="1F4E79"/>
          <w:sz w:val="22"/>
          <w:szCs w:val="22"/>
        </w:rPr>
        <w:t xml:space="preserve">2.2.2 Performance &amp; Load Testing</w:t>
      </w:r>
    </w:p>
    <w:p>
      <w:pPr>
        <w:spacing w:after="80" w:before="80"/>
      </w:pPr>
      <w:r>
        <w:rPr>
          <w:rFonts w:ascii="Arial" w:cs="Arial" w:eastAsia="Arial" w:hAnsi="Arial"/>
          <w:sz w:val="22"/>
          <w:szCs w:val="22"/>
        </w:rPr>
        <w:t xml:space="preserve">Performance testing validates system responsiveness and stability under realistic and peak clinical workloads. Tests are executed in a dedicated performance environment mirroring production infrastructure.</w:t>
      </w:r>
    </w:p>
    <w:p>
      <w:pPr>
        <w:pStyle w:val="ListParagraph"/>
        <w:numPr>
          <w:ilvl w:val="0"/>
          <w:numId w:val="2"/>
        </w:numPr>
        <w:spacing w:after="60" w:before="60"/>
      </w:pPr>
      <w:r>
        <w:rPr>
          <w:rFonts w:ascii="Arial" w:cs="Arial" w:eastAsia="Arial" w:hAnsi="Arial"/>
          <w:b w:val="false"/>
          <w:bCs w:val="false"/>
          <w:sz w:val="22"/>
          <w:szCs w:val="22"/>
        </w:rPr>
        <w:t xml:space="preserve">Load Testing: Simulate expected concurrent user volume (up to 5,000 concurrent sessions)</w:t>
      </w:r>
    </w:p>
    <w:p>
      <w:pPr>
        <w:pStyle w:val="ListParagraph"/>
        <w:numPr>
          <w:ilvl w:val="0"/>
          <w:numId w:val="2"/>
        </w:numPr>
        <w:spacing w:after="60" w:before="60"/>
      </w:pPr>
      <w:r>
        <w:rPr>
          <w:rFonts w:ascii="Arial" w:cs="Arial" w:eastAsia="Arial" w:hAnsi="Arial"/>
          <w:b w:val="false"/>
          <w:bCs w:val="false"/>
          <w:sz w:val="22"/>
          <w:szCs w:val="22"/>
        </w:rPr>
        <w:t xml:space="preserve">Stress Testing: Identify system breaking point and recovery behavior</w:t>
      </w:r>
    </w:p>
    <w:p>
      <w:pPr>
        <w:pStyle w:val="ListParagraph"/>
        <w:numPr>
          <w:ilvl w:val="0"/>
          <w:numId w:val="2"/>
        </w:numPr>
        <w:spacing w:after="60" w:before="60"/>
      </w:pPr>
      <w:r>
        <w:rPr>
          <w:rFonts w:ascii="Arial" w:cs="Arial" w:eastAsia="Arial" w:hAnsi="Arial"/>
          <w:b w:val="false"/>
          <w:bCs w:val="false"/>
          <w:sz w:val="22"/>
          <w:szCs w:val="22"/>
        </w:rPr>
        <w:t xml:space="preserve">Endurance Testing: Validate system stability over extended operational periods (72-hour soak)</w:t>
      </w:r>
    </w:p>
    <w:p>
      <w:pPr>
        <w:pStyle w:val="ListParagraph"/>
        <w:numPr>
          <w:ilvl w:val="0"/>
          <w:numId w:val="2"/>
        </w:numPr>
        <w:spacing w:after="60" w:before="60"/>
      </w:pPr>
      <w:r>
        <w:rPr>
          <w:rFonts w:ascii="Arial" w:cs="Arial" w:eastAsia="Arial" w:hAnsi="Arial"/>
          <w:b w:val="false"/>
          <w:bCs w:val="false"/>
          <w:sz w:val="22"/>
          <w:szCs w:val="22"/>
        </w:rPr>
        <w:t xml:space="preserve">Spike Testing: Validate response to sudden surges (e.g., emergency mass casualty events)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Metric</w:t>
            </w:r>
          </w:p>
        </w:tc>
        <w:tc>
          <w:tcPr>
            <w:tcW w:type="dxa" w:w="3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Target SLA</w:t>
            </w:r>
          </w:p>
        </w:tc>
        <w:tc>
          <w:tcPr>
            <w:tcW w:type="dxa" w:w="33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Critical Threshold</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Page Response Time</w:t>
            </w:r>
          </w:p>
        </w:tc>
        <w:tc>
          <w:tcPr>
            <w:tcW w:type="dxa" w:w="3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&lt; 2 seconds (95th percentile)</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&lt; 4 seconds</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API Response Time</w:t>
            </w:r>
          </w:p>
        </w:tc>
        <w:tc>
          <w:tcPr>
            <w:tcW w:type="dxa" w:w="3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&lt; 500ms (95th percentile)</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&lt; 1 second</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Concurrent Users</w:t>
            </w:r>
          </w:p>
        </w:tc>
        <w:tc>
          <w:tcPr>
            <w:tcW w:type="dxa" w:w="3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5,000 simultaneous sessions</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7,500 sessions</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System Availability</w:t>
            </w:r>
          </w:p>
        </w:tc>
        <w:tc>
          <w:tcPr>
            <w:tcW w:type="dxa" w:w="3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99.9% uptime (SLA)</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99.5% minimum</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Throughput</w:t>
            </w:r>
          </w:p>
        </w:tc>
        <w:tc>
          <w:tcPr>
            <w:tcW w:type="dxa" w:w="3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&gt; 1,000 transactions/minute</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&gt; 800 TPS</w:t>
            </w:r>
          </w:p>
        </w:tc>
      </w:tr>
    </w:tbl>
    <w:p>
      <w:pPr>
        <w:spacing w:after="0" w:before="0"/>
      </w:pPr>
      <w:r>
        <w:rPr>
          <w:sz w:val="24"/>
          <w:szCs w:val="24"/>
        </w:rPr>
        <w:t xml:space="preserve"/>
      </w:r>
    </w:p>
    <w:p>
      <w:pPr>
        <w:pStyle w:val="Heading3"/>
        <w:spacing w:after="80" w:before="160"/>
      </w:pPr>
      <w:r>
        <w:rPr>
          <w:rFonts w:ascii="Arial" w:cs="Arial" w:eastAsia="Arial" w:hAnsi="Arial"/>
          <w:b/>
          <w:bCs/>
          <w:color w:val="1F4E79"/>
          <w:sz w:val="22"/>
          <w:szCs w:val="22"/>
        </w:rPr>
        <w:t xml:space="preserve">2.2.3 Security &amp; Compliance Testing</w:t>
      </w:r>
    </w:p>
    <w:p>
      <w:pPr>
        <w:spacing w:after="80" w:before="80"/>
      </w:pPr>
      <w:r>
        <w:rPr>
          <w:rFonts w:ascii="Arial" w:cs="Arial" w:eastAsia="Arial" w:hAnsi="Arial"/>
          <w:sz w:val="22"/>
          <w:szCs w:val="22"/>
        </w:rPr>
        <w:t xml:space="preserve">Security testing ensures the EHR system protects PHI, maintains data integrity, and satisfies all applicable regulatory mandates. Compliance testing validates adherence to HIPAA, FDA 21 CFR Part 11, HL7/FHIR, and GDPR standards.</w:t>
      </w:r>
    </w:p>
    <w:p>
      <w:pPr>
        <w:pStyle w:val="ListParagraph"/>
        <w:numPr>
          <w:ilvl w:val="0"/>
          <w:numId w:val="2"/>
        </w:numPr>
        <w:spacing w:after="60" w:before="60"/>
      </w:pPr>
      <w:r>
        <w:rPr>
          <w:rFonts w:ascii="Arial" w:cs="Arial" w:eastAsia="Arial" w:hAnsi="Arial"/>
          <w:b w:val="false"/>
          <w:bCs w:val="false"/>
          <w:sz w:val="22"/>
          <w:szCs w:val="22"/>
        </w:rPr>
        <w:t xml:space="preserve">Authentication &amp; Authorization: Role-based access control (RBAC), MFA validation, session management</w:t>
      </w:r>
    </w:p>
    <w:p>
      <w:pPr>
        <w:pStyle w:val="ListParagraph"/>
        <w:numPr>
          <w:ilvl w:val="0"/>
          <w:numId w:val="2"/>
        </w:numPr>
        <w:spacing w:after="60" w:before="60"/>
      </w:pPr>
      <w:r>
        <w:rPr>
          <w:rFonts w:ascii="Arial" w:cs="Arial" w:eastAsia="Arial" w:hAnsi="Arial"/>
          <w:b w:val="false"/>
          <w:bCs w:val="false"/>
          <w:sz w:val="22"/>
          <w:szCs w:val="22"/>
        </w:rPr>
        <w:t xml:space="preserve">Data Encryption: Verify AES-256 encryption at rest and TLS 1.3 in transit</w:t>
      </w:r>
    </w:p>
    <w:p>
      <w:pPr>
        <w:pStyle w:val="ListParagraph"/>
        <w:numPr>
          <w:ilvl w:val="0"/>
          <w:numId w:val="2"/>
        </w:numPr>
        <w:spacing w:after="60" w:before="60"/>
      </w:pPr>
      <w:r>
        <w:rPr>
          <w:rFonts w:ascii="Arial" w:cs="Arial" w:eastAsia="Arial" w:hAnsi="Arial"/>
          <w:b w:val="false"/>
          <w:bCs w:val="false"/>
          <w:sz w:val="22"/>
          <w:szCs w:val="22"/>
        </w:rPr>
        <w:t xml:space="preserve">Audit Trail: Validate immutable audit logs for all PHI access events (FDA 21 CFR Part 11)</w:t>
      </w:r>
    </w:p>
    <w:p>
      <w:pPr>
        <w:pStyle w:val="ListParagraph"/>
        <w:numPr>
          <w:ilvl w:val="0"/>
          <w:numId w:val="2"/>
        </w:numPr>
        <w:spacing w:after="60" w:before="60"/>
      </w:pPr>
      <w:r>
        <w:rPr>
          <w:rFonts w:ascii="Arial" w:cs="Arial" w:eastAsia="Arial" w:hAnsi="Arial"/>
          <w:b w:val="false"/>
          <w:bCs w:val="false"/>
          <w:sz w:val="22"/>
          <w:szCs w:val="22"/>
        </w:rPr>
        <w:t xml:space="preserve">Penetration Testing: Bi-annual third-party pen test plus automated DAST in CI pipeline</w:t>
      </w:r>
    </w:p>
    <w:p>
      <w:pPr>
        <w:pStyle w:val="ListParagraph"/>
        <w:numPr>
          <w:ilvl w:val="0"/>
          <w:numId w:val="2"/>
        </w:numPr>
        <w:spacing w:after="60" w:before="60"/>
      </w:pPr>
      <w:r>
        <w:rPr>
          <w:rFonts w:ascii="Arial" w:cs="Arial" w:eastAsia="Arial" w:hAnsi="Arial"/>
          <w:b w:val="false"/>
          <w:bCs w:val="false"/>
          <w:sz w:val="22"/>
          <w:szCs w:val="22"/>
        </w:rPr>
        <w:t xml:space="preserve">HIPAA Compliance: PHI de-identification, minimum necessary access, breach notification workflows</w:t>
      </w:r>
    </w:p>
    <w:p>
      <w:pPr>
        <w:pStyle w:val="ListParagraph"/>
        <w:numPr>
          <w:ilvl w:val="0"/>
          <w:numId w:val="2"/>
        </w:numPr>
        <w:spacing w:after="60" w:before="60"/>
      </w:pPr>
      <w:r>
        <w:rPr>
          <w:rFonts w:ascii="Arial" w:cs="Arial" w:eastAsia="Arial" w:hAnsi="Arial"/>
          <w:b w:val="false"/>
          <w:bCs w:val="false"/>
          <w:sz w:val="22"/>
          <w:szCs w:val="22"/>
        </w:rPr>
        <w:t xml:space="preserve">GDPR Validation: Consent management, right-to-erasure workflows, data residency controls</w:t>
      </w:r>
    </w:p>
    <w:p>
      <w:pPr>
        <w:spacing w:after="0" w:before="0"/>
      </w:pPr>
      <w:r>
        <w:rPr>
          <w:sz w:val="12"/>
          <w:szCs w:val="12"/>
        </w:rPr>
        <w:t xml:space="preserve"/>
      </w:r>
    </w:p>
    <w:p>
      <w:pPr>
        <w:pStyle w:val="Heading3"/>
        <w:spacing w:after="80" w:before="160"/>
      </w:pPr>
      <w:r>
        <w:rPr>
          <w:rFonts w:ascii="Arial" w:cs="Arial" w:eastAsia="Arial" w:hAnsi="Arial"/>
          <w:b/>
          <w:bCs/>
          <w:color w:val="1F4E79"/>
          <w:sz w:val="22"/>
          <w:szCs w:val="22"/>
        </w:rPr>
        <w:t xml:space="preserve">2.2.4 End-to-End Integration Testing</w:t>
      </w:r>
    </w:p>
    <w:p>
      <w:pPr>
        <w:spacing w:after="80" w:before="80"/>
      </w:pPr>
      <w:r>
        <w:rPr>
          <w:rFonts w:ascii="Arial" w:cs="Arial" w:eastAsia="Arial" w:hAnsi="Arial"/>
          <w:sz w:val="22"/>
          <w:szCs w:val="22"/>
        </w:rPr>
        <w:t xml:space="preserve">Integration testing validates data integrity and business continuity across system boundaries including laboratory systems, pharmacy networks, billing engines, and external FHIR endpoints.</w:t>
      </w:r>
    </w:p>
    <w:p>
      <w:pPr>
        <w:pStyle w:val="ListParagraph"/>
        <w:numPr>
          <w:ilvl w:val="0"/>
          <w:numId w:val="2"/>
        </w:numPr>
        <w:spacing w:after="60" w:before="60"/>
      </w:pPr>
      <w:r>
        <w:rPr>
          <w:rFonts w:ascii="Arial" w:cs="Arial" w:eastAsia="Arial" w:hAnsi="Arial"/>
          <w:b w:val="false"/>
          <w:bCs w:val="false"/>
          <w:sz w:val="22"/>
          <w:szCs w:val="22"/>
        </w:rPr>
        <w:t xml:space="preserve">HL7 v2.x message validation (ADT, ORU, ORM message types)</w:t>
      </w:r>
    </w:p>
    <w:p>
      <w:pPr>
        <w:pStyle w:val="ListParagraph"/>
        <w:numPr>
          <w:ilvl w:val="0"/>
          <w:numId w:val="2"/>
        </w:numPr>
        <w:spacing w:after="60" w:before="60"/>
      </w:pPr>
      <w:r>
        <w:rPr>
          <w:rFonts w:ascii="Arial" w:cs="Arial" w:eastAsia="Arial" w:hAnsi="Arial"/>
          <w:b w:val="false"/>
          <w:bCs w:val="false"/>
          <w:sz w:val="22"/>
          <w:szCs w:val="22"/>
        </w:rPr>
        <w:t xml:space="preserve">FHIR R4 API contract testing for all exposed resources</w:t>
      </w:r>
    </w:p>
    <w:p>
      <w:pPr>
        <w:pStyle w:val="ListParagraph"/>
        <w:numPr>
          <w:ilvl w:val="0"/>
          <w:numId w:val="2"/>
        </w:numPr>
        <w:spacing w:after="60" w:before="60"/>
      </w:pPr>
      <w:r>
        <w:rPr>
          <w:rFonts w:ascii="Arial" w:cs="Arial" w:eastAsia="Arial" w:hAnsi="Arial"/>
          <w:b w:val="false"/>
          <w:bCs w:val="false"/>
          <w:sz w:val="22"/>
          <w:szCs w:val="22"/>
        </w:rPr>
        <w:t xml:space="preserve">Lab system bidirectional interface testing (order transmission and result receipt)</w:t>
      </w:r>
    </w:p>
    <w:p>
      <w:pPr>
        <w:pStyle w:val="ListParagraph"/>
        <w:numPr>
          <w:ilvl w:val="0"/>
          <w:numId w:val="2"/>
        </w:numPr>
        <w:spacing w:after="60" w:before="60"/>
      </w:pPr>
      <w:r>
        <w:rPr>
          <w:rFonts w:ascii="Arial" w:cs="Arial" w:eastAsia="Arial" w:hAnsi="Arial"/>
          <w:b w:val="false"/>
          <w:bCs w:val="false"/>
          <w:sz w:val="22"/>
          <w:szCs w:val="22"/>
        </w:rPr>
        <w:t xml:space="preserve">Pharmacy network integration and e-prescription workflows</w:t>
      </w:r>
    </w:p>
    <w:p>
      <w:pPr>
        <w:pStyle w:val="ListParagraph"/>
        <w:numPr>
          <w:ilvl w:val="0"/>
          <w:numId w:val="2"/>
        </w:numPr>
        <w:spacing w:after="60" w:before="60"/>
      </w:pPr>
      <w:r>
        <w:rPr>
          <w:rFonts w:ascii="Arial" w:cs="Arial" w:eastAsia="Arial" w:hAnsi="Arial"/>
          <w:b w:val="false"/>
          <w:bCs w:val="false"/>
          <w:sz w:val="22"/>
          <w:szCs w:val="22"/>
        </w:rPr>
        <w:t xml:space="preserve">Insurance eligibility verification and claims submission validation</w:t>
      </w:r>
    </w:p>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3. Regulatory Compliance Framework</w:t>
      </w:r>
    </w:p>
    <w:p>
      <w:pPr>
        <w:pStyle w:val="Heading2"/>
        <w:spacing w:after="120" w:before="240"/>
      </w:pPr>
      <w:r>
        <w:rPr>
          <w:rFonts w:ascii="Arial" w:cs="Arial" w:eastAsia="Arial" w:hAnsi="Arial"/>
          <w:b/>
          <w:bCs/>
          <w:color w:val="2E75B6"/>
          <w:sz w:val="24"/>
          <w:szCs w:val="24"/>
        </w:rPr>
        <w:t xml:space="preserve">3.1 Applicable Standards</w:t>
      </w:r>
    </w:p>
    <w:p>
      <w:pPr>
        <w:spacing w:after="80" w:before="80"/>
      </w:pPr>
      <w:r>
        <w:rPr>
          <w:rFonts w:ascii="Arial" w:cs="Arial" w:eastAsia="Arial" w:hAnsi="Arial"/>
          <w:sz w:val="22"/>
          <w:szCs w:val="22"/>
        </w:rPr>
        <w:t xml:space="preserve">All testing activities are designed to satisfy the following regulatory requirements: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Standard</w:t>
            </w:r>
          </w:p>
        </w:tc>
        <w:tc>
          <w:tcPr>
            <w:tcW w:type="dxa" w:w="41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Testing Scope</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HIPAA</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Health Insurance Portability &amp; Accountability Act - Privacy and Security Rules</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PHI access control, data encryption, audit logging, breach simulation</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FDA 21 CFR Part 11</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Electronic Records &amp; Signatures regulations for life sciences systems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Audit trail integrity, electronic signature validation, system validation</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HL7 / FHIR</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Health Level 7 interoperability and FHIR R4 API standards</w:t>
            </w:r>
          </w:p>
        </w:tc>
        <w:tc>
          <w:tcPr>
            <w:tcW w:type="dxa" w:w="3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Message conformance, API contract testing, integration validation</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GDPR</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General Data Protection Regulation - EU data privacy requirements</w:t>
            </w:r>
          </w:p>
        </w:tc>
        <w:tc>
          <w:tcPr>
            <w:tcW w:type="dxa" w:w="30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Consent workflows, data subject rights, cross-border transfer controls</w:t>
            </w:r>
          </w:p>
        </w:tc>
      </w:tr>
    </w:tbl>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3.2 Compliance Test Evidence</w:t>
      </w:r>
    </w:p>
    <w:p>
      <w:pPr>
        <w:spacing w:after="80" w:before="80"/>
      </w:pPr>
      <w:r>
        <w:rPr>
          <w:rFonts w:ascii="Arial" w:cs="Arial" w:eastAsia="Arial" w:hAnsi="Arial"/>
          <w:sz w:val="22"/>
          <w:szCs w:val="22"/>
        </w:rPr>
        <w:t xml:space="preserve">All compliance-related test executions shall produce evidence artifacts retained for a minimum of 7 years, including:</w:t>
      </w:r>
    </w:p>
    <w:p>
      <w:pPr>
        <w:pStyle w:val="ListParagraph"/>
        <w:numPr>
          <w:ilvl w:val="0"/>
          <w:numId w:val="2"/>
        </w:numPr>
        <w:spacing w:after="60" w:before="60"/>
      </w:pPr>
      <w:r>
        <w:rPr>
          <w:rFonts w:ascii="Arial" w:cs="Arial" w:eastAsia="Arial" w:hAnsi="Arial"/>
          <w:b w:val="false"/>
          <w:bCs w:val="false"/>
          <w:sz w:val="22"/>
          <w:szCs w:val="22"/>
        </w:rPr>
        <w:t xml:space="preserve">Signed test execution reports with pass/fail status and tester credentials</w:t>
      </w:r>
    </w:p>
    <w:p>
      <w:pPr>
        <w:pStyle w:val="ListParagraph"/>
        <w:numPr>
          <w:ilvl w:val="0"/>
          <w:numId w:val="2"/>
        </w:numPr>
        <w:spacing w:after="60" w:before="60"/>
      </w:pPr>
      <w:r>
        <w:rPr>
          <w:rFonts w:ascii="Arial" w:cs="Arial" w:eastAsia="Arial" w:hAnsi="Arial"/>
          <w:b w:val="false"/>
          <w:bCs w:val="false"/>
          <w:sz w:val="22"/>
          <w:szCs w:val="22"/>
        </w:rPr>
        <w:t xml:space="preserve">Automated test run logs with timestamps and environment configuration snapshots</w:t>
      </w:r>
    </w:p>
    <w:p>
      <w:pPr>
        <w:pStyle w:val="ListParagraph"/>
        <w:numPr>
          <w:ilvl w:val="0"/>
          <w:numId w:val="2"/>
        </w:numPr>
        <w:spacing w:after="60" w:before="60"/>
      </w:pPr>
      <w:r>
        <w:rPr>
          <w:rFonts w:ascii="Arial" w:cs="Arial" w:eastAsia="Arial" w:hAnsi="Arial"/>
          <w:b w:val="false"/>
          <w:bCs w:val="false"/>
          <w:sz w:val="22"/>
          <w:szCs w:val="22"/>
        </w:rPr>
        <w:t xml:space="preserve">Security scan reports from SAST, DAST, and penetration testing engagements</w:t>
      </w:r>
    </w:p>
    <w:p>
      <w:pPr>
        <w:pStyle w:val="ListParagraph"/>
        <w:numPr>
          <w:ilvl w:val="0"/>
          <w:numId w:val="2"/>
        </w:numPr>
        <w:spacing w:after="60" w:before="60"/>
      </w:pPr>
      <w:r>
        <w:rPr>
          <w:rFonts w:ascii="Arial" w:cs="Arial" w:eastAsia="Arial" w:hAnsi="Arial"/>
          <w:b w:val="false"/>
          <w:bCs w:val="false"/>
          <w:sz w:val="22"/>
          <w:szCs w:val="22"/>
        </w:rPr>
        <w:t xml:space="preserve">HIPAA risk assessment outcomes and remediation records</w:t>
      </w:r>
    </w:p>
    <w:p>
      <w:pPr>
        <w:pStyle w:val="ListParagraph"/>
        <w:numPr>
          <w:ilvl w:val="0"/>
          <w:numId w:val="2"/>
        </w:numPr>
        <w:spacing w:after="60" w:before="60"/>
      </w:pPr>
      <w:r>
        <w:rPr>
          <w:rFonts w:ascii="Arial" w:cs="Arial" w:eastAsia="Arial" w:hAnsi="Arial"/>
          <w:b w:val="false"/>
          <w:bCs w:val="false"/>
          <w:sz w:val="22"/>
          <w:szCs w:val="22"/>
        </w:rPr>
        <w:t xml:space="preserve">FHIR conformance test results from the official HL7 validation tool chain</w:t>
      </w:r>
    </w:p>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4. Test Automation Strategy</w:t>
      </w:r>
    </w:p>
    <w:p>
      <w:pPr>
        <w:pStyle w:val="Heading2"/>
        <w:spacing w:after="120" w:before="240"/>
      </w:pPr>
      <w:r>
        <w:rPr>
          <w:rFonts w:ascii="Arial" w:cs="Arial" w:eastAsia="Arial" w:hAnsi="Arial"/>
          <w:b/>
          <w:bCs/>
          <w:color w:val="2E75B6"/>
          <w:sz w:val="24"/>
          <w:szCs w:val="24"/>
        </w:rPr>
        <w:t xml:space="preserve">4.1 Automation Framework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Testing Layer</w:t>
            </w:r>
          </w:p>
        </w:tc>
        <w:tc>
          <w:tcPr>
            <w:tcW w:type="dxa" w:w="2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Tool / Framework</w:t>
            </w:r>
          </w:p>
        </w:tc>
        <w:tc>
          <w:tcPr>
            <w:tcW w:type="dxa" w:w="45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UI Automation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Selenium / Playwright</w:t>
            </w:r>
          </w:p>
        </w:tc>
        <w:tc>
          <w:tcPr>
            <w:tcW w:type="dxa" w:w="4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Cross-browser end-to-end workflow automation for clinical portals</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API Testing</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Postman / RestAssured</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FHIR REST API contract validation, HL7 interface testing</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Performance Testing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JMeter / Gatling</w:t>
            </w:r>
          </w:p>
        </w:tc>
        <w:tc>
          <w:tcPr>
            <w:tcW w:type="dxa" w:w="4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Load, stress, endurance, and spike scenario simulation</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BDD / Acceptance</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Cucumber (Gherkin)</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Business-readable acceptance test scenarios for stakeholder review</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Security Scanning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OWASP ZAP / SonarQube</w:t>
            </w:r>
          </w:p>
        </w:tc>
        <w:tc>
          <w:tcPr>
            <w:tcW w:type="dxa" w:w="4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DAST and SAST integration in CI/CD pipeline</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CI/CD Integration</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Jenkins / GitHub Actions</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Automated test triggering on every code commit and PR</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Test Management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Jira + Zephyr Scale</w:t>
            </w:r>
          </w:p>
        </w:tc>
        <w:tc>
          <w:tcPr>
            <w:tcW w:type="dxa" w:w="4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Test case management, sprint tracking, defect linkage</w:t>
            </w:r>
          </w:p>
        </w:tc>
      </w:tr>
    </w:tbl>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4.2 Automation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Testing Type</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Current Sprint Target</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Release Target</w:t>
            </w:r>
          </w:p>
        </w:tc>
        <w:tc>
          <w:tcPr>
            <w:tcW w:type="dxa" w:w="19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Steady State</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Functional / Regression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60%</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80%</w:t>
            </w:r>
          </w:p>
        </w:tc>
        <w:tc>
          <w:tcPr>
            <w:tcW w:type="dxa" w:w="19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90%</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API / Integration</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70%</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85%</w:t>
            </w:r>
          </w:p>
        </w:tc>
        <w:tc>
          <w:tcPr>
            <w:tcW w:type="dxa" w:w="1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95%</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Security (DAST/SAST)</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100% CI scan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100% CI scan</w:t>
            </w:r>
          </w:p>
        </w:tc>
        <w:tc>
          <w:tcPr>
            <w:tcW w:type="dxa" w:w="19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100% CI scan</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Performance Baseline</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Core flows</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Full suite</w:t>
            </w:r>
          </w:p>
        </w:tc>
        <w:tc>
          <w:tcPr>
            <w:tcW w:type="dxa" w:w="19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Full suite</w:t>
            </w:r>
          </w:p>
        </w:tc>
      </w:tr>
    </w:tbl>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4.3 CI/CD Pipeline Integration</w:t>
      </w:r>
    </w:p>
    <w:p>
      <w:pPr>
        <w:spacing w:after="80" w:before="80"/>
      </w:pPr>
      <w:r>
        <w:rPr>
          <w:rFonts w:ascii="Arial" w:cs="Arial" w:eastAsia="Arial" w:hAnsi="Arial"/>
          <w:sz w:val="22"/>
          <w:szCs w:val="22"/>
        </w:rPr>
        <w:t xml:space="preserve">Automated tests are integrated at every stage of the CI/CD pipeline to enforce quality gates:</w:t>
      </w:r>
    </w:p>
    <w:p>
      <w:pPr>
        <w:pStyle w:val="ListParagraph"/>
        <w:numPr>
          <w:ilvl w:val="0"/>
          <w:numId w:val="2"/>
        </w:numPr>
        <w:spacing w:after="60" w:before="60"/>
      </w:pPr>
      <w:r>
        <w:rPr>
          <w:rFonts w:ascii="Arial" w:cs="Arial" w:eastAsia="Arial" w:hAnsi="Arial"/>
          <w:b w:val="false"/>
          <w:bCs w:val="false"/>
          <w:sz w:val="22"/>
          <w:szCs w:val="22"/>
        </w:rPr>
        <w:t xml:space="preserve">Commit Gate: Unit tests, SAST scans, and linting on every push</w:t>
      </w:r>
    </w:p>
    <w:p>
      <w:pPr>
        <w:pStyle w:val="ListParagraph"/>
        <w:numPr>
          <w:ilvl w:val="0"/>
          <w:numId w:val="2"/>
        </w:numPr>
        <w:spacing w:after="60" w:before="60"/>
      </w:pPr>
      <w:r>
        <w:rPr>
          <w:rFonts w:ascii="Arial" w:cs="Arial" w:eastAsia="Arial" w:hAnsi="Arial"/>
          <w:b w:val="false"/>
          <w:bCs w:val="false"/>
          <w:sz w:val="22"/>
          <w:szCs w:val="22"/>
        </w:rPr>
        <w:t xml:space="preserve">Pull Request Gate: Full API test suite, smoke regression, and security scans</w:t>
      </w:r>
    </w:p>
    <w:p>
      <w:pPr>
        <w:pStyle w:val="ListParagraph"/>
        <w:numPr>
          <w:ilvl w:val="0"/>
          <w:numId w:val="2"/>
        </w:numPr>
        <w:spacing w:after="60" w:before="60"/>
      </w:pPr>
      <w:r>
        <w:rPr>
          <w:rFonts w:ascii="Arial" w:cs="Arial" w:eastAsia="Arial" w:hAnsi="Arial"/>
          <w:b w:val="false"/>
          <w:bCs w:val="false"/>
          <w:sz w:val="22"/>
          <w:szCs w:val="22"/>
        </w:rPr>
        <w:t xml:space="preserve">Sprint Build Gate: Complete functional regression, integration smoke, and performance baseline</w:t>
      </w:r>
    </w:p>
    <w:p>
      <w:pPr>
        <w:pStyle w:val="ListParagraph"/>
        <w:numPr>
          <w:ilvl w:val="0"/>
          <w:numId w:val="2"/>
        </w:numPr>
        <w:spacing w:after="60" w:before="60"/>
      </w:pPr>
      <w:r>
        <w:rPr>
          <w:rFonts w:ascii="Arial" w:cs="Arial" w:eastAsia="Arial" w:hAnsi="Arial"/>
          <w:b w:val="false"/>
          <w:bCs w:val="false"/>
          <w:sz w:val="22"/>
          <w:szCs w:val="22"/>
        </w:rPr>
        <w:t xml:space="preserve">Release Gate: Full regression, performance suite, compliance scan, and penetration test review</w:t>
      </w:r>
    </w:p>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5. Defect Management</w:t>
      </w:r>
    </w:p>
    <w:p>
      <w:pPr>
        <w:pStyle w:val="Heading2"/>
        <w:spacing w:after="120" w:before="240"/>
      </w:pPr>
      <w:r>
        <w:rPr>
          <w:rFonts w:ascii="Arial" w:cs="Arial" w:eastAsia="Arial" w:hAnsi="Arial"/>
          <w:b/>
          <w:bCs/>
          <w:color w:val="2E75B6"/>
          <w:sz w:val="24"/>
          <w:szCs w:val="24"/>
        </w:rPr>
        <w:t xml:space="preserve">5.1 Defect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Severity</w:t>
            </w:r>
          </w:p>
        </w:tc>
        <w:tc>
          <w:tcPr>
            <w:tcW w:type="dxa" w:w="2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Definition</w:t>
            </w:r>
          </w:p>
        </w:tc>
        <w:tc>
          <w:tcPr>
            <w:tcW w:type="dxa" w:w="27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Healthcare Impact</w:t>
            </w:r>
          </w:p>
        </w:tc>
        <w:tc>
          <w:tcPr>
            <w:tcW w:type="dxa" w:w="26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Resolution SLA</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Critical (S1)</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System crash or data loss</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Patient safety risk or PHI breach</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Fix within 4 hours</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High (S2)</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Core feature failure</w:t>
            </w:r>
          </w:p>
        </w:tc>
        <w:tc>
          <w:tcPr>
            <w:tcW w:type="dxa" w:w="2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Clinical workflow blocked, no workaround</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Fix within 1 business day</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Medium (S3)</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Feature partially impaired</w:t>
            </w:r>
          </w:p>
        </w:tc>
        <w:tc>
          <w:tcPr>
            <w:tcW w:type="dxa" w:w="2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Workaround available, user impacted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Fix within 3 business days</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Low (S4)</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Minor UI/UX issues</w:t>
            </w:r>
          </w:p>
        </w:tc>
        <w:tc>
          <w:tcPr>
            <w:tcW w:type="dxa" w:w="2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Cosmetic or negligible business impact</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Fix in next sprint</w:t>
            </w:r>
          </w:p>
        </w:tc>
      </w:tr>
    </w:tbl>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5.2 Defect Lifecycle</w:t>
      </w:r>
    </w:p>
    <w:p>
      <w:pPr>
        <w:pStyle w:val="ListParagraph"/>
        <w:numPr>
          <w:ilvl w:val="0"/>
          <w:numId w:val="2"/>
        </w:numPr>
        <w:spacing w:after="60" w:before="60"/>
      </w:pPr>
      <w:r>
        <w:rPr>
          <w:rFonts w:ascii="Arial" w:cs="Arial" w:eastAsia="Arial" w:hAnsi="Arial"/>
          <w:b w:val="false"/>
          <w:bCs w:val="false"/>
          <w:sz w:val="22"/>
          <w:szCs w:val="22"/>
        </w:rPr>
        <w:t xml:space="preserve">New: Defect logged by SDET with steps to reproduce, evidence, and environment details</w:t>
      </w:r>
    </w:p>
    <w:p>
      <w:pPr>
        <w:pStyle w:val="ListParagraph"/>
        <w:numPr>
          <w:ilvl w:val="0"/>
          <w:numId w:val="2"/>
        </w:numPr>
        <w:spacing w:after="60" w:before="60"/>
      </w:pPr>
      <w:r>
        <w:rPr>
          <w:rFonts w:ascii="Arial" w:cs="Arial" w:eastAsia="Arial" w:hAnsi="Arial"/>
          <w:b w:val="false"/>
          <w:bCs w:val="false"/>
          <w:sz w:val="22"/>
          <w:szCs w:val="22"/>
        </w:rPr>
        <w:t xml:space="preserve">Open: Triaged and assigned to development team with severity and priority classification</w:t>
      </w:r>
    </w:p>
    <w:p>
      <w:pPr>
        <w:pStyle w:val="ListParagraph"/>
        <w:numPr>
          <w:ilvl w:val="0"/>
          <w:numId w:val="2"/>
        </w:numPr>
        <w:spacing w:after="60" w:before="60"/>
      </w:pPr>
      <w:r>
        <w:rPr>
          <w:rFonts w:ascii="Arial" w:cs="Arial" w:eastAsia="Arial" w:hAnsi="Arial"/>
          <w:b w:val="false"/>
          <w:bCs w:val="false"/>
          <w:sz w:val="22"/>
          <w:szCs w:val="22"/>
        </w:rPr>
        <w:t xml:space="preserve">In Progress: Active development fix underway</w:t>
      </w:r>
    </w:p>
    <w:p>
      <w:pPr>
        <w:pStyle w:val="ListParagraph"/>
        <w:numPr>
          <w:ilvl w:val="0"/>
          <w:numId w:val="2"/>
        </w:numPr>
        <w:spacing w:after="60" w:before="60"/>
      </w:pPr>
      <w:r>
        <w:rPr>
          <w:rFonts w:ascii="Arial" w:cs="Arial" w:eastAsia="Arial" w:hAnsi="Arial"/>
          <w:b w:val="false"/>
          <w:bCs w:val="false"/>
          <w:sz w:val="22"/>
          <w:szCs w:val="22"/>
        </w:rPr>
        <w:t xml:space="preserve">Fixed: Developer marks resolved; build deployed to test environment</w:t>
      </w:r>
    </w:p>
    <w:p>
      <w:pPr>
        <w:pStyle w:val="ListParagraph"/>
        <w:numPr>
          <w:ilvl w:val="0"/>
          <w:numId w:val="2"/>
        </w:numPr>
        <w:spacing w:after="60" w:before="60"/>
      </w:pPr>
      <w:r>
        <w:rPr>
          <w:rFonts w:ascii="Arial" w:cs="Arial" w:eastAsia="Arial" w:hAnsi="Arial"/>
          <w:b w:val="false"/>
          <w:bCs w:val="false"/>
          <w:sz w:val="22"/>
          <w:szCs w:val="22"/>
        </w:rPr>
        <w:t xml:space="preserve">Verified: SDET validates fix with targeted retest and regression impact assessment</w:t>
      </w:r>
    </w:p>
    <w:p>
      <w:pPr>
        <w:pStyle w:val="ListParagraph"/>
        <w:numPr>
          <w:ilvl w:val="0"/>
          <w:numId w:val="2"/>
        </w:numPr>
        <w:spacing w:after="60" w:before="60"/>
      </w:pPr>
      <w:r>
        <w:rPr>
          <w:rFonts w:ascii="Arial" w:cs="Arial" w:eastAsia="Arial" w:hAnsi="Arial"/>
          <w:b w:val="false"/>
          <w:bCs w:val="false"/>
          <w:sz w:val="22"/>
          <w:szCs w:val="22"/>
        </w:rPr>
        <w:t xml:space="preserve">Closed: Defect confirmed resolved; closure documented in Jira</w:t>
      </w:r>
    </w:p>
    <w:p>
      <w:pPr>
        <w:pStyle w:val="ListParagraph"/>
        <w:numPr>
          <w:ilvl w:val="0"/>
          <w:numId w:val="2"/>
        </w:numPr>
        <w:spacing w:after="60" w:before="60"/>
      </w:pPr>
      <w:r>
        <w:rPr>
          <w:rFonts w:ascii="Arial" w:cs="Arial" w:eastAsia="Arial" w:hAnsi="Arial"/>
          <w:b w:val="false"/>
          <w:bCs w:val="false"/>
          <w:sz w:val="22"/>
          <w:szCs w:val="22"/>
        </w:rPr>
        <w:t xml:space="preserve">Deferred/Rejected: Product Owner decision with documented rationale</w:t>
      </w:r>
    </w:p>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5.3 Entry and Exit Criteria</w:t>
      </w:r>
    </w:p>
    <w:p>
      <w:pPr>
        <w:pStyle w:val="Heading3"/>
        <w:spacing w:after="80" w:before="160"/>
      </w:pPr>
      <w:r>
        <w:rPr>
          <w:rFonts w:ascii="Arial" w:cs="Arial" w:eastAsia="Arial" w:hAnsi="Arial"/>
          <w:b/>
          <w:bCs/>
          <w:color w:val="1F4E79"/>
          <w:sz w:val="22"/>
          <w:szCs w:val="22"/>
        </w:rPr>
        <w:t xml:space="preserve">Entry Criteria (Sprint Testing)</w:t>
      </w:r>
    </w:p>
    <w:p>
      <w:pPr>
        <w:pStyle w:val="ListParagraph"/>
        <w:numPr>
          <w:ilvl w:val="0"/>
          <w:numId w:val="2"/>
        </w:numPr>
        <w:spacing w:after="60" w:before="60"/>
      </w:pPr>
      <w:r>
        <w:rPr>
          <w:rFonts w:ascii="Arial" w:cs="Arial" w:eastAsia="Arial" w:hAnsi="Arial"/>
          <w:b w:val="false"/>
          <w:bCs w:val="false"/>
          <w:sz w:val="22"/>
          <w:szCs w:val="22"/>
        </w:rPr>
        <w:t xml:space="preserve">User Story accepted by Product Owner with clear acceptance criteria</w:t>
      </w:r>
    </w:p>
    <w:p>
      <w:pPr>
        <w:pStyle w:val="ListParagraph"/>
        <w:numPr>
          <w:ilvl w:val="0"/>
          <w:numId w:val="2"/>
        </w:numPr>
        <w:spacing w:after="60" w:before="60"/>
      </w:pPr>
      <w:r>
        <w:rPr>
          <w:rFonts w:ascii="Arial" w:cs="Arial" w:eastAsia="Arial" w:hAnsi="Arial"/>
          <w:b w:val="false"/>
          <w:bCs w:val="false"/>
          <w:sz w:val="22"/>
          <w:szCs w:val="22"/>
        </w:rPr>
        <w:t xml:space="preserve">Development code merged to feature branch with unit tests passing</w:t>
      </w:r>
    </w:p>
    <w:p>
      <w:pPr>
        <w:pStyle w:val="ListParagraph"/>
        <w:numPr>
          <w:ilvl w:val="0"/>
          <w:numId w:val="2"/>
        </w:numPr>
        <w:spacing w:after="60" w:before="60"/>
      </w:pPr>
      <w:r>
        <w:rPr>
          <w:rFonts w:ascii="Arial" w:cs="Arial" w:eastAsia="Arial" w:hAnsi="Arial"/>
          <w:b w:val="false"/>
          <w:bCs w:val="false"/>
          <w:sz w:val="22"/>
          <w:szCs w:val="22"/>
        </w:rPr>
        <w:t xml:space="preserve">Test environment provisioned and verified with representative data</w:t>
      </w:r>
    </w:p>
    <w:p>
      <w:pPr>
        <w:pStyle w:val="ListParagraph"/>
        <w:numPr>
          <w:ilvl w:val="0"/>
          <w:numId w:val="2"/>
        </w:numPr>
        <w:spacing w:after="60" w:before="60"/>
      </w:pPr>
      <w:r>
        <w:rPr>
          <w:rFonts w:ascii="Arial" w:cs="Arial" w:eastAsia="Arial" w:hAnsi="Arial"/>
          <w:b w:val="false"/>
          <w:bCs w:val="false"/>
          <w:sz w:val="22"/>
          <w:szCs w:val="22"/>
        </w:rPr>
        <w:t xml:space="preserve">Test cases reviewed and approved in Zephyr Scale</w:t>
      </w:r>
    </w:p>
    <w:p>
      <w:pPr>
        <w:spacing w:after="0" w:before="0"/>
      </w:pPr>
      <w:r>
        <w:rPr>
          <w:sz w:val="12"/>
          <w:szCs w:val="12"/>
        </w:rPr>
        <w:t xml:space="preserve"/>
      </w:r>
    </w:p>
    <w:p>
      <w:pPr>
        <w:pStyle w:val="Heading3"/>
        <w:spacing w:after="80" w:before="160"/>
      </w:pPr>
      <w:r>
        <w:rPr>
          <w:rFonts w:ascii="Arial" w:cs="Arial" w:eastAsia="Arial" w:hAnsi="Arial"/>
          <w:b/>
          <w:bCs/>
          <w:color w:val="1F4E79"/>
          <w:sz w:val="22"/>
          <w:szCs w:val="22"/>
        </w:rPr>
        <w:t xml:space="preserve">Exit Criteria (Sprint Release)</w:t>
      </w:r>
    </w:p>
    <w:p>
      <w:pPr>
        <w:pStyle w:val="ListParagraph"/>
        <w:numPr>
          <w:ilvl w:val="0"/>
          <w:numId w:val="2"/>
        </w:numPr>
        <w:spacing w:after="60" w:before="60"/>
      </w:pPr>
      <w:r>
        <w:rPr>
          <w:rFonts w:ascii="Arial" w:cs="Arial" w:eastAsia="Arial" w:hAnsi="Arial"/>
          <w:b w:val="false"/>
          <w:bCs w:val="false"/>
          <w:sz w:val="22"/>
          <w:szCs w:val="22"/>
        </w:rPr>
        <w:t xml:space="preserve">100% of planned test cases executed</w:t>
      </w:r>
    </w:p>
    <w:p>
      <w:pPr>
        <w:pStyle w:val="ListParagraph"/>
        <w:numPr>
          <w:ilvl w:val="0"/>
          <w:numId w:val="2"/>
        </w:numPr>
        <w:spacing w:after="60" w:before="60"/>
      </w:pPr>
      <w:r>
        <w:rPr>
          <w:rFonts w:ascii="Arial" w:cs="Arial" w:eastAsia="Arial" w:hAnsi="Arial"/>
          <w:b w:val="false"/>
          <w:bCs w:val="false"/>
          <w:sz w:val="22"/>
          <w:szCs w:val="22"/>
        </w:rPr>
        <w:t xml:space="preserve">Zero open Critical (S1) or High (S2) defects</w:t>
      </w:r>
    </w:p>
    <w:p>
      <w:pPr>
        <w:pStyle w:val="ListParagraph"/>
        <w:numPr>
          <w:ilvl w:val="0"/>
          <w:numId w:val="2"/>
        </w:numPr>
        <w:spacing w:after="60" w:before="60"/>
      </w:pPr>
      <w:r>
        <w:rPr>
          <w:rFonts w:ascii="Arial" w:cs="Arial" w:eastAsia="Arial" w:hAnsi="Arial"/>
          <w:b w:val="false"/>
          <w:bCs w:val="false"/>
          <w:sz w:val="22"/>
          <w:szCs w:val="22"/>
        </w:rPr>
        <w:t xml:space="preserve">All automated regression suites passing in CI/CD pipeline</w:t>
      </w:r>
    </w:p>
    <w:p>
      <w:pPr>
        <w:pStyle w:val="ListParagraph"/>
        <w:numPr>
          <w:ilvl w:val="0"/>
          <w:numId w:val="2"/>
        </w:numPr>
        <w:spacing w:after="60" w:before="60"/>
      </w:pPr>
      <w:r>
        <w:rPr>
          <w:rFonts w:ascii="Arial" w:cs="Arial" w:eastAsia="Arial" w:hAnsi="Arial"/>
          <w:b w:val="false"/>
          <w:bCs w:val="false"/>
          <w:sz w:val="22"/>
          <w:szCs w:val="22"/>
        </w:rPr>
        <w:t xml:space="preserve">Compliance evidence package reviewed and signed off by Compliance Officer</w:t>
      </w:r>
    </w:p>
    <w:p>
      <w:pPr>
        <w:pStyle w:val="ListParagraph"/>
        <w:numPr>
          <w:ilvl w:val="0"/>
          <w:numId w:val="2"/>
        </w:numPr>
        <w:spacing w:after="60" w:before="60"/>
      </w:pPr>
      <w:r>
        <w:rPr>
          <w:rFonts w:ascii="Arial" w:cs="Arial" w:eastAsia="Arial" w:hAnsi="Arial"/>
          <w:b w:val="false"/>
          <w:bCs w:val="false"/>
          <w:sz w:val="22"/>
          <w:szCs w:val="22"/>
        </w:rPr>
        <w:t xml:space="preserve">Performance metrics within defined SLA thresholds</w:t>
      </w:r>
    </w:p>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6. Test Environments and Data Management</w:t>
      </w:r>
    </w:p>
    <w:p>
      <w:pPr>
        <w:pStyle w:val="Heading2"/>
        <w:spacing w:after="120" w:before="240"/>
      </w:pPr>
      <w:r>
        <w:rPr>
          <w:rFonts w:ascii="Arial" w:cs="Arial" w:eastAsia="Arial" w:hAnsi="Arial"/>
          <w:b/>
          <w:bCs/>
          <w:color w:val="2E75B6"/>
          <w:sz w:val="24"/>
          <w:szCs w:val="24"/>
        </w:rPr>
        <w:t xml:space="preserve">6.1 Environment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Environment</w:t>
            </w:r>
          </w:p>
        </w:tc>
        <w:tc>
          <w:tcPr>
            <w:tcW w:type="dxa" w:w="26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Purpose</w:t>
            </w:r>
          </w:p>
        </w:tc>
        <w:tc>
          <w:tcPr>
            <w:tcW w:type="dxa" w:w="2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Data Type</w:t>
            </w:r>
          </w:p>
        </w:tc>
        <w:tc>
          <w:tcPr>
            <w:tcW w:type="dxa" w:w="23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Access Control</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DEV</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Unit and integration development testing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Synthetic / mock data</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Dev team only</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SIT</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Sprint integration and functional testing</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De-identified test data</w:t>
            </w:r>
          </w:p>
        </w:tc>
        <w:tc>
          <w:tcPr>
            <w:tcW w:type="dxa" w:w="23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QA + Dev teams</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UAT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Business acceptance and stakeholder validation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De-identified representative data</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QA + Business + PO</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PERF</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Performance and load testing</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Production-scale synthetic data</w:t>
            </w:r>
          </w:p>
        </w:tc>
        <w:tc>
          <w:tcPr>
            <w:tcW w:type="dxa" w:w="23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QA + Ops teams</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PROD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Production monitoring and smoke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Live data (read-only monitoring)</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Ops + Release team</w:t>
            </w:r>
          </w:p>
        </w:tc>
      </w:tr>
    </w:tbl>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6.2 Test Data Management</w:t>
      </w:r>
    </w:p>
    <w:p>
      <w:pPr>
        <w:spacing w:after="80" w:before="80"/>
      </w:pPr>
      <w:r>
        <w:rPr>
          <w:rFonts w:ascii="Arial" w:cs="Arial" w:eastAsia="Arial" w:hAnsi="Arial"/>
          <w:sz w:val="22"/>
          <w:szCs w:val="22"/>
        </w:rPr>
        <w:t xml:space="preserve">All test data strategies comply with HIPAA minimum-necessary and GDPR data minimization principles:</w:t>
      </w:r>
    </w:p>
    <w:p>
      <w:pPr>
        <w:pStyle w:val="ListParagraph"/>
        <w:numPr>
          <w:ilvl w:val="0"/>
          <w:numId w:val="2"/>
        </w:numPr>
        <w:spacing w:after="60" w:before="60"/>
      </w:pPr>
      <w:r>
        <w:rPr>
          <w:rFonts w:ascii="Arial" w:cs="Arial" w:eastAsia="Arial" w:hAnsi="Arial"/>
          <w:b w:val="false"/>
          <w:bCs w:val="false"/>
          <w:sz w:val="22"/>
          <w:szCs w:val="22"/>
        </w:rPr>
        <w:t xml:space="preserve">Synthetic Data Generation: Clinically realistic synthetic patient records generated via tools such as Synthea for functional testing</w:t>
      </w:r>
    </w:p>
    <w:p>
      <w:pPr>
        <w:pStyle w:val="ListParagraph"/>
        <w:numPr>
          <w:ilvl w:val="0"/>
          <w:numId w:val="2"/>
        </w:numPr>
        <w:spacing w:after="60" w:before="60"/>
      </w:pPr>
      <w:r>
        <w:rPr>
          <w:rFonts w:ascii="Arial" w:cs="Arial" w:eastAsia="Arial" w:hAnsi="Arial"/>
          <w:b w:val="false"/>
          <w:bCs w:val="false"/>
          <w:sz w:val="22"/>
          <w:szCs w:val="22"/>
        </w:rPr>
        <w:t xml:space="preserve">De-identification: Any production-derived data undergoes HIPAA Safe Harbor de-identification before use in non-production environments</w:t>
      </w:r>
    </w:p>
    <w:p>
      <w:pPr>
        <w:pStyle w:val="ListParagraph"/>
        <w:numPr>
          <w:ilvl w:val="0"/>
          <w:numId w:val="2"/>
        </w:numPr>
        <w:spacing w:after="60" w:before="60"/>
      </w:pPr>
      <w:r>
        <w:rPr>
          <w:rFonts w:ascii="Arial" w:cs="Arial" w:eastAsia="Arial" w:hAnsi="Arial"/>
          <w:b w:val="false"/>
          <w:bCs w:val="false"/>
          <w:sz w:val="22"/>
          <w:szCs w:val="22"/>
        </w:rPr>
        <w:t xml:space="preserve">Data Masking: All PHI fields (name, DOB, SSN, MRN) masked in SIT and UAT environments</w:t>
      </w:r>
    </w:p>
    <w:p>
      <w:pPr>
        <w:pStyle w:val="ListParagraph"/>
        <w:numPr>
          <w:ilvl w:val="0"/>
          <w:numId w:val="2"/>
        </w:numPr>
        <w:spacing w:after="60" w:before="60"/>
      </w:pPr>
      <w:r>
        <w:rPr>
          <w:rFonts w:ascii="Arial" w:cs="Arial" w:eastAsia="Arial" w:hAnsi="Arial"/>
          <w:b w:val="false"/>
          <w:bCs w:val="false"/>
          <w:sz w:val="22"/>
          <w:szCs w:val="22"/>
        </w:rPr>
        <w:t xml:space="preserve">Test Data Refresh: Environment data refreshed at the beginning of each sprint cycle</w:t>
      </w:r>
    </w:p>
    <w:p>
      <w:pPr>
        <w:pStyle w:val="ListParagraph"/>
        <w:numPr>
          <w:ilvl w:val="0"/>
          <w:numId w:val="2"/>
        </w:numPr>
        <w:spacing w:after="60" w:before="60"/>
      </w:pPr>
      <w:r>
        <w:rPr>
          <w:rFonts w:ascii="Arial" w:cs="Arial" w:eastAsia="Arial" w:hAnsi="Arial"/>
          <w:b w:val="false"/>
          <w:bCs w:val="false"/>
          <w:sz w:val="22"/>
          <w:szCs w:val="22"/>
        </w:rPr>
        <w:t xml:space="preserve">Data Retention: Test data retained for the duration of the project plus 12 months for audit traceability</w:t>
      </w:r>
    </w:p>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7. Risk Management</w:t>
      </w:r>
    </w:p>
    <w:p>
      <w:pPr>
        <w:pStyle w:val="Heading2"/>
        <w:spacing w:after="120" w:before="240"/>
      </w:pPr>
      <w:r>
        <w:rPr>
          <w:rFonts w:ascii="Arial" w:cs="Arial" w:eastAsia="Arial" w:hAnsi="Arial"/>
          <w:b/>
          <w:bCs/>
          <w:color w:val="2E75B6"/>
          <w:sz w:val="24"/>
          <w:szCs w:val="24"/>
        </w:rPr>
        <w:t xml:space="preserve">7.1 Testing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Probability</w:t>
            </w:r>
          </w:p>
        </w:tc>
        <w:tc>
          <w:tcPr>
            <w:tcW w:type="dxa" w:w="14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Impact</w:t>
            </w:r>
          </w:p>
        </w:tc>
        <w:tc>
          <w:tcPr>
            <w:tcW w:type="dxa" w:w="37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Mitigation Strategy</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HIPAA non-compliance due to PHI exposure in test environment</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Low</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Critical</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Mandatory data masking pipeline, quarterly compliance audits, automated PHI detection scans</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Third-party HL7/FHIR integration failures in SIT</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Medium</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High</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Contract mocking with WireMock, dedicated integration test suite, early vendor engagement</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Insufficient test automation coverage causing regression gaps</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High</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Enforce automation gate in Definition of Done; track coverage metrics per sprint</w:t>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Performance degradation under peak clinical load</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Low</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High</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Baseline performance tests in Sprint 1; continuous performance regression in CI pipeline</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Agile sprint velocity impact from regulatory test overhead</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Medium</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Pre-built compliance test templates; reusable Cucumber scenarios; automated evidence collection</w:t>
            </w:r>
          </w:p>
        </w:tc>
      </w:tr>
    </w:tbl>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8.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Role</w:t>
            </w:r>
          </w:p>
        </w:tc>
        <w:tc>
          <w:tcPr>
            <w:tcW w:type="dxa" w:w="67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Responsibilities</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SDET Lead</w:t>
            </w:r>
          </w:p>
        </w:tc>
        <w:tc>
          <w:tcPr>
            <w:tcW w:type="dxa" w:w="6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Own and maintain test strategy; govern automation framework architecture; define quality gates; report testing metrics to stakeholders</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Senior SDET</w:t>
            </w:r>
          </w:p>
        </w:tc>
        <w:tc>
          <w:tcPr>
            <w:tcW w:type="dxa" w:w="6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Design and implement automated test suites; perform API and integration testing; conduct code reviews for test scripts; mentor junior SDETs</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SDET / QA Engineer</w:t>
            </w:r>
          </w:p>
        </w:tc>
        <w:tc>
          <w:tcPr>
            <w:tcW w:type="dxa" w:w="6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Execute functional, regression, and exploratory testing; log and triage defects; maintain test cases in Zephyr Scale</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Performance Engineer</w:t>
            </w:r>
          </w:p>
        </w:tc>
        <w:tc>
          <w:tcPr>
            <w:tcW w:type="dxa" w:w="6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Design and execute performance test scenarios in JMeter/Gatling; analyze results and identify bottlenecks; maintain performance baselines</w:t>
            </w:r>
          </w:p>
        </w:tc>
      </w:tr>
      <w:tr>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Security QA Engineer</w:t>
            </w:r>
          </w:p>
        </w:tc>
        <w:tc>
          <w:tcPr>
            <w:tcW w:type="dxa" w:w="67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Conduct DAST with OWASP ZAP; review penetration test reports; validate HIPAA and GDPR security controls; maintain SAST rules in SonarQube</w:t>
            </w:r>
          </w:p>
        </w:tc>
      </w:tr>
      <w:tr>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Compliance Analyst</w:t>
            </w:r>
          </w:p>
        </w:tc>
        <w:tc>
          <w:tcPr>
            <w:tcW w:type="dxa" w:w="67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Review and approve compliance test evidence; liaise with regulatory bodies; sign off on HIPAA and FDA audit documentation</w:t>
            </w:r>
          </w:p>
        </w:tc>
      </w:tr>
    </w:tbl>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9. Quality Metrics and Reporting</w:t>
      </w:r>
    </w:p>
    <w:p>
      <w:pPr>
        <w:pStyle w:val="Heading2"/>
        <w:spacing w:after="120" w:before="240"/>
      </w:pPr>
      <w:r>
        <w:rPr>
          <w:rFonts w:ascii="Arial" w:cs="Arial" w:eastAsia="Arial" w:hAnsi="Arial"/>
          <w:b/>
          <w:bCs/>
          <w:color w:val="2E75B6"/>
          <w:sz w:val="24"/>
          <w:szCs w:val="24"/>
        </w:rPr>
        <w:t xml:space="preserve">9.1 Key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Metric</w:t>
            </w:r>
          </w:p>
        </w:tc>
        <w:tc>
          <w:tcPr>
            <w:tcW w:type="dxa" w:w="26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Target</w:t>
            </w:r>
          </w:p>
        </w:tc>
        <w:tc>
          <w:tcPr>
            <w:tcW w:type="dxa" w:w="35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Reporting Frequency</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Test Case Execution Rate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100% planned cases executed per sprint</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Per sprint</w:t>
            </w:r>
          </w:p>
        </w:tc>
      </w:tr>
      <w:tr>
        <w:tc>
          <w:tcPr>
            <w:tcW w:type="dxa" w:w="3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Defect Detection Rate</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&gt; 90% defects found pre-release</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 sprint</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Automation Coverage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&gt; 85% regression automated</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Bi-weekly</w:t>
            </w:r>
          </w:p>
        </w:tc>
      </w:tr>
      <w:tr>
        <w:tc>
          <w:tcPr>
            <w:tcW w:type="dxa" w:w="3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Defect Escape Rate</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&lt; 2% defects escaping to production</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 release</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S1/S2 Defect Count at Release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Zero open critical/high defects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Per sprint / release</w:t>
            </w:r>
          </w:p>
        </w:tc>
      </w:tr>
      <w:tr>
        <w:tc>
          <w:tcPr>
            <w:tcW w:type="dxa" w:w="3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Compliance Test Pass Rate</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100% regulatory test cases passed</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Per release</w:t>
            </w:r>
          </w:p>
        </w:tc>
      </w:tr>
      <w:tr>
        <w:tc>
          <w:tcPr>
            <w:tcW w:type="dxa" w:w="3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Performance SLA Adherence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All KPIs within defined thresholds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Per performance cycle</w:t>
            </w:r>
          </w:p>
        </w:tc>
      </w:tr>
    </w:tbl>
    <w:p>
      <w:pPr>
        <w:spacing w:after="0" w:before="0"/>
      </w:pPr>
      <w:r>
        <w:rPr>
          <w:sz w:val="24"/>
          <w:szCs w:val="24"/>
        </w:rPr>
        <w:t xml:space="preserve"/>
      </w:r>
    </w:p>
    <w:p>
      <w:pPr>
        <w:pStyle w:val="Heading2"/>
        <w:spacing w:after="120" w:before="240"/>
      </w:pPr>
      <w:r>
        <w:rPr>
          <w:rFonts w:ascii="Arial" w:cs="Arial" w:eastAsia="Arial" w:hAnsi="Arial"/>
          <w:b/>
          <w:bCs/>
          <w:color w:val="2E75B6"/>
          <w:sz w:val="24"/>
          <w:szCs w:val="24"/>
        </w:rPr>
        <w:t xml:space="preserve">9.2 Reporting Cadence</w:t>
      </w:r>
    </w:p>
    <w:p>
      <w:pPr>
        <w:pStyle w:val="ListParagraph"/>
        <w:numPr>
          <w:ilvl w:val="0"/>
          <w:numId w:val="2"/>
        </w:numPr>
        <w:spacing w:after="60" w:before="60"/>
      </w:pPr>
      <w:r>
        <w:rPr>
          <w:rFonts w:ascii="Arial" w:cs="Arial" w:eastAsia="Arial" w:hAnsi="Arial"/>
          <w:b w:val="false"/>
          <w:bCs w:val="false"/>
          <w:sz w:val="22"/>
          <w:szCs w:val="22"/>
        </w:rPr>
        <w:t xml:space="preserve">Daily: Automated test dashboard updated via CI pipeline (Jira/Zephyr integration)</w:t>
      </w:r>
    </w:p>
    <w:p>
      <w:pPr>
        <w:pStyle w:val="ListParagraph"/>
        <w:numPr>
          <w:ilvl w:val="0"/>
          <w:numId w:val="2"/>
        </w:numPr>
        <w:spacing w:after="60" w:before="60"/>
      </w:pPr>
      <w:r>
        <w:rPr>
          <w:rFonts w:ascii="Arial" w:cs="Arial" w:eastAsia="Arial" w:hAnsi="Arial"/>
          <w:b w:val="false"/>
          <w:bCs w:val="false"/>
          <w:sz w:val="22"/>
          <w:szCs w:val="22"/>
        </w:rPr>
        <w:t xml:space="preserve">Sprint: Sprint Test Summary Report covering execution status, defect trends, automation coverage, and Go/No-Go recommendation</w:t>
      </w:r>
    </w:p>
    <w:p>
      <w:pPr>
        <w:pStyle w:val="ListParagraph"/>
        <w:numPr>
          <w:ilvl w:val="0"/>
          <w:numId w:val="2"/>
        </w:numPr>
        <w:spacing w:after="60" w:before="60"/>
      </w:pPr>
      <w:r>
        <w:rPr>
          <w:rFonts w:ascii="Arial" w:cs="Arial" w:eastAsia="Arial" w:hAnsi="Arial"/>
          <w:b w:val="false"/>
          <w:bCs w:val="false"/>
          <w:sz w:val="22"/>
          <w:szCs w:val="22"/>
        </w:rPr>
        <w:t xml:space="preserve">Release: Release Quality Report including compliance evidence summary, performance results, security scan outcomes, and defect escape analysis</w:t>
      </w:r>
    </w:p>
    <w:p>
      <w:pPr>
        <w:pStyle w:val="ListParagraph"/>
        <w:numPr>
          <w:ilvl w:val="0"/>
          <w:numId w:val="2"/>
        </w:numPr>
        <w:spacing w:after="60" w:before="60"/>
      </w:pPr>
      <w:r>
        <w:rPr>
          <w:rFonts w:ascii="Arial" w:cs="Arial" w:eastAsia="Arial" w:hAnsi="Arial"/>
          <w:b w:val="false"/>
          <w:bCs w:val="false"/>
          <w:sz w:val="22"/>
          <w:szCs w:val="22"/>
        </w:rPr>
        <w:t xml:space="preserve">Quarterly: Quality Metrics Review with leadership, regulatory compliance audit summary, and process improvement recommendations</w:t>
      </w:r>
    </w:p>
    <w:p>
      <w:pPr>
        <w:spacing w:after="0" w:before="0"/>
      </w:pPr>
      <w:r>
        <w:rPr>
          <w:sz w:val="24"/>
          <w:szCs w:val="24"/>
        </w:rPr>
        <w:t xml:space="preserve"/>
      </w:r>
    </w:p>
    <w:p>
      <w:r>
        <w:br w:type="page"/>
      </w:r>
    </w:p>
    <w:p>
      <w:pPr>
        <w:pStyle w:val="Heading1"/>
        <w:pBdr>
          <w:bottom w:val="single" w:color="2E75B6" w:sz="8" w:space="4"/>
        </w:pBdr>
        <w:spacing w:after="160" w:before="320"/>
      </w:pPr>
      <w:r>
        <w:rPr>
          <w:rFonts w:ascii="Arial" w:cs="Arial" w:eastAsia="Arial" w:hAnsi="Arial"/>
          <w:b/>
          <w:bCs/>
          <w:color w:val="1F4E79"/>
          <w:sz w:val="28"/>
          <w:szCs w:val="28"/>
        </w:rPr>
        <w:t xml:space="preserve">10. Document Approvals</w:t>
      </w:r>
    </w:p>
    <w:p>
      <w:pPr>
        <w:spacing w:after="80" w:before="80"/>
      </w:pPr>
      <w:r>
        <w:rPr>
          <w:rFonts w:ascii="Arial" w:cs="Arial" w:eastAsia="Arial" w:hAnsi="Arial"/>
          <w:sz w:val="22"/>
          <w:szCs w:val="22"/>
        </w:rPr>
        <w:t xml:space="preserve">The following stakeholders have reviewed and approved this Test Strategy Document: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Role</w:t>
            </w:r>
          </w:p>
        </w:tc>
        <w:tc>
          <w:tcPr>
            <w:tcW w:type="dxa" w:w="220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Signature</w:t>
            </w:r>
          </w:p>
        </w:tc>
        <w:tc>
          <w:tcPr>
            <w:tcW w:type="dxa" w:w="2160"/>
            <w:tcBorders>
              <w:top w:val="single" w:color="BBBBBB" w:sz="1"/>
              <w:left w:val="single" w:color="BBBBBB" w:sz="1"/>
              <w:bottom w:val="single" w:color="BBBBBB" w:sz="1"/>
              <w:right w:val="single" w:color="BBBBBB" w:sz="1"/>
            </w:tcBorders>
            <w:shd w:fill="2E75B6"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Date</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SDET Lead</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Product Owner</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1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Compliance Officer</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r>
      <w:tr>
        <w:tc>
          <w:tcPr>
            <w:tcW w:type="dxa" w:w="28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Engineering Lead</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160"/>
            <w:tcBorders>
              <w:top w:val="single" w:color="BBBBBB" w:sz="1"/>
              <w:left w:val="single" w:color="BBBBBB" w:sz="1"/>
              <w:bottom w:val="single" w:color="BBBBBB" w:sz="1"/>
              <w:right w:val="single" w:color="BBBBBB" w:sz="1"/>
            </w:tcBorders>
            <w:shd w:fill="F2F2F2" w:val="clear"/>
            <w:tcMar>
              <w:top w:type="dxa" w:w="100"/>
              <w:left w:type="dxa" w:w="130"/>
              <w:bottom w:type="dxa" w:w="100"/>
              <w:right w:type="dxa" w:w="130"/>
            </w:tcMar>
            <w:vAlign w:val="center"/>
          </w:tcPr>
          <w:p>
            <w:r>
              <w:rPr>
                <w:rFonts w:ascii="Arial" w:cs="Arial" w:eastAsia="Arial" w:hAnsi="Arial"/>
                <w:sz w:val="20"/>
                <w:szCs w:val="20"/>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Release Manager</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c>
          <w:tcPr>
            <w:tcW w:type="dxa" w:w="2160"/>
            <w:tcBorders>
              <w:top w:val="single" w:color="BBBBBB" w:sz="1"/>
              <w:left w:val="single" w:color="BBBBBB" w:sz="1"/>
              <w:bottom w:val="single" w:color="BBBBBB" w:sz="1"/>
              <w:right w:val="single" w:color="BBBBBB" w:sz="1"/>
            </w:tcBorders>
            <w:shd w:fill="FFFFFF" w:val="clear"/>
            <w:tcMar>
              <w:top w:type="dxa" w:w="100"/>
              <w:left w:type="dxa" w:w="130"/>
              <w:bottom w:type="dxa" w:w="100"/>
              <w:right w:type="dxa" w:w="130"/>
            </w:tcMar>
            <w:vAlign w:val="center"/>
          </w:tcPr>
          <w:p>
            <w:r>
              <w:rPr>
                <w:rFonts w:ascii="Arial" w:cs="Arial" w:eastAsia="Arial" w:hAnsi="Arial"/>
                <w:sz w:val="20"/>
                <w:szCs w:val="20"/>
              </w:rPr>
              <w:t xml:space="preserve"/>
            </w:r>
          </w:p>
        </w:tc>
      </w:tr>
    </w:tbl>
    <w:p>
      <w:pPr>
        <w:spacing w:after="0" w:before="0"/>
      </w:pPr>
      <w:r>
        <w:rPr>
          <w:sz w:val="24"/>
          <w:szCs w:val="24"/>
        </w:rPr>
        <w:t xml:space="preserve"/>
      </w:r>
    </w:p>
    <w:p>
      <w:pPr>
        <w:spacing w:after="80" w:before="80"/>
      </w:pPr>
      <w:r>
        <w:rPr>
          <w:rFonts w:ascii="Arial" w:cs="Arial" w:eastAsia="Arial" w:hAnsi="Arial"/>
          <w:i/>
          <w:iCs/>
          <w:color w:val="888888"/>
          <w:sz w:val="22"/>
          <w:szCs w:val="22"/>
        </w:rPr>
        <w:t xml:space="preserve">Document Control: This document is subject to version control. Any amendments require review and re-approval by all signatories listed above. The current approved version supersedes all prior versions.</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120"/>
    </w:pPr>
    <w:r>
      <w:rPr>
        <w:rFonts w:ascii="Arial" w:cs="Arial" w:eastAsia="Arial" w:hAnsi="Arial"/>
        <w:color w:val="888888"/>
        <w:sz w:val="18"/>
        <w:szCs w:val="18"/>
      </w:rPr>
      <w:t xml:space="preserve">Healthcare QA Team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888"/>
        <w:sz w:val="18"/>
        <w:szCs w:val="18"/>
      </w:rPr>
      <w:t xml:space="preserve">Test Strategy Document  |  EHR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2026-05-15T13:11:30.498Z</dcterms:created>
  <dcterms:modified xsi:type="dcterms:W3CDTF">2026-05-15T13:11:30.499Z</dcterms:modified>
</cp:coreProperties>
</file>

<file path=docProps/custom.xml><?xml version="1.0" encoding="utf-8"?>
<Properties xmlns="http://schemas.openxmlformats.org/officeDocument/2006/custom-properties" xmlns:vt="http://schemas.openxmlformats.org/officeDocument/2006/docPropsVTypes"/>
</file>