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15: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15: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5"/>
      <w:r>
        <w:rPr>
          <w:rFonts w:ascii="Manrope ExtraBold" w:hAnsi="Manrope ExtraBold"/>
          <w:color w:val="3C2DDB"/>
          <w:sz w:val="30"/>
          <w:szCs w:val="30"/>
        </w:rPr>
        <w:t xml:space="preserve">Coding Challenge Set 15 – Loan Origination and Repayment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lending service must assess eligibility and compute EMI schedules.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Applicant, Loan (personal and vehicle subtypes) and an EligibilityRule interface (age, income-to-EMI, credit score).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Calculate EMI and the amortisation schedule; apply a late-payment penalty and reject applications that fail any rule with the failing rule named.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LoanRepository that saves the loan and its instalments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portfolio at risk by branch and the five largest loans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IneligibleApplicantException and InvalidTenureException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15: Programming, DB Connectivity and Testing</dc:title>
</cp:coreProperties>
</file>