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5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5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5"/>
      <w:r>
        <w:rPr>
          <w:rFonts w:ascii="Manrope ExtraBold" w:hAnsi="Manrope ExtraBold"/>
          <w:color w:val="3C2DDB"/>
          <w:sz w:val="30"/>
          <w:szCs w:val="30"/>
        </w:rPr>
        <w:t xml:space="preserve">Day 5 – Databases, Normalisation and Data Definition – SQL Server 2025</w:t>
      </w:r>
      <w:bookmarkEnd w:id="201"/>
    </w:p>
    <w:p>
      <w:pPr>
        <w:pStyle w:val="Sectioncontent"/>
        <w:spacing w:after="60"/>
      </w:pPr>
      <w:r>
        <w:rPr>
          <w:rFonts w:ascii="Heebo" w:hAnsi="Heebo" w:cs="Heebo"/>
          <w:i/>
          <w:iCs/>
          <w:color w:val="595959"/>
          <w:sz w:val="19"/>
          <w:szCs w:val="19"/>
        </w:rPr>
        <w:t xml:space="preserve">Topics covered: Introduction to Databases · Normalisation and Data Modelling · Managing Databases · Managing Tables · DML, MERGE and OUTPUT</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Inventory Management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keeps stock in a single spreadsheet (SKU, product name, category, supplier name, supplier phone, warehouse, quantity, reorder level).</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Normalise the spreadsheet to 3NF, list the insert, update and delete anomalies in the original and draw the ER diagram.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the T-SQL script that creates the database and tables with IDENTITY keys, primary keys, foreign keys, UNIQUE, CHECK (quantity &gt;= 0), DEFAULT and referential actions.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SEQUENCE object to generate purchase-order numbers and explain when IDENTITY or SEQUENCE is the better choice.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Insert at least 10 rows per table and demonstrate four deliberately failing inserts (duplicate key, missing parent, negative quantity, NULL in a mandatory column).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MERGE with an OUTPUT clause to synchronise a supplier-feed table into the stock table and capture the inserted and updated rows.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schema.sql, seed_data.sql, merge_demo.sql and the ER diagram.</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Branch Accounts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branch tracks accounts in a de-normalised sheet (customer, address, account number, account type, branch, relationship manager, balance, KYC details).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Normalise to 3NF/BCNF, identify the candidate and composite keys and draw the ER diagram.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the tables with appropriate data types (DECIMAL for money), constraints and cascading rules; store KYC details in a column of the native JSON type and validate it with ISJSON.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Differentiate DROP, TRUNCATE and DELETE by running each on a test table and recording the effect on IDENTITY values and rollback.</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Insert, update and delete records using the OUTPUT clause to capture the deleted rows into an archive table.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WHERE with AND, OR, IN, BETWEEN and LIKE to retrieve accounts opened in the last quarter with a balance above a threshold; use column and table aliases.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schema.sql, seed_data.sql and an ER diagram with a note on the data types chosen.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Patient Records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stores visits in one wide sheet (patient, address, doctor, department, visit date, diagnosis, prescription, bill amount).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Normalise to 3NF; separate Patient, Doctor, Department, Visit and Billing and explain each decomposition step.</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the database, tables and constraints; add a default status of 'OPEN' and a check on visit date.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the system databases and the database files; create, rename and drop a user-defined database and take a backup and restore it under another name.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Insert, update and delete with OUTPUT and use a MERGE to load a daily visit feed idempotently.</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in a table when you would denormalise this model and the trade-off involved.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schema.sql, seed_data.sql, backup/restore script and the ER diagram.</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5 Assignment</dc:title>
</cp:coreProperties>
</file>