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11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11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1"/>
      <w:r>
        <w:rPr>
          <w:rFonts w:ascii="Manrope ExtraBold" w:hAnsi="Manrope ExtraBold"/>
          <w:color w:val="3C2DDB"/>
          <w:sz w:val="30"/>
          <w:szCs w:val="30"/>
        </w:rPr>
        <w:t xml:space="preserve">Day 11 – C# 14 and .NET 10 – Introduction and Language Basics</w:t>
      </w:r>
      <w:bookmarkEnd w:id="201"/>
    </w:p>
    <w:p>
      <w:pPr>
        <w:pStyle w:val="Sectioncontent"/>
        <w:spacing w:after="60"/>
      </w:pPr>
      <w:r>
        <w:rPr>
          <w:rFonts w:ascii="Heebo" w:hAnsi="Heebo" w:cs="Heebo"/>
          <w:i/>
          <w:iCs/>
          <w:color w:val="595959"/>
          <w:sz w:val="19"/>
          <w:szCs w:val="19"/>
        </w:rPr>
        <w:t xml:space="preserve">Topics covered: CLR, JIT and .NET 10 SDK · dotnet CLI · Data Types and Casting · Control Flow · Methods · Nullable Types · Boxing · String Handling</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Loan Eligibility Engine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pre-screening tool must decide loan eligibility from age, income, credit score and existing obligations.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solution with the dotnet CLI (dotnet new, build, run) and a console project with top-level statements; commit the structure.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six rules: age band (21–60), income-to-EMI ratio, credit-score band, employment type, existing-loan limit and final decision, using if-else and nested conditions.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switch expression with relational patterns to map the credit-score band to an interest rate and a loan product.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Process ten applicants with for and foreach loops, continue for invalid records and break when a daily approval limit is reached.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Print a decision table using string interpolation and handle the edge cases (zero income, negative age, score out of range) with nullable reference types enabled.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Compiling solution, console output and a table of test inputs with expected decisions.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Utility Billing Calculator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electricity distribution company bills customers on slabs and applies surcharge and rebate rules.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Calculate the bill using four slabs (0–100, 101–200, 201–400, above 400) with different rates.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a switch expression for the consumer category (domestic, commercial, industrial) with the fixed charge.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methods with ref, out and params to return the bill, the tax and the surcharge together; compare call by value and ref.</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checked arithmetic to detect overflow for very large readings and show boxing and unboxing with a short example.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Show the difference between Convert.ToString and ToString(), const and readonly, and produce the bill using raw string literals and StringBuilder.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sample runs and the boundary values (100, 101, 200, 201, 400, 401).</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Insurance Premium Bands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classifies applicants into premium bands by age, smoker status, BMI and policy term.</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Calculate BMI and classify it using a switch expression with property and relational patterns.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an init-only Applicant class with required members and a record version; compare the output of printing both.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nullable value types (int?) for optional fields (e.g., prior claims) and the null-coalescing operators ?? and ??=.</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Process eight applicants with a loop; handle command-line arguments for the batch file name and a validation mode.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value types versus reference types and show the effect of copying a struct and a class.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output for eight applicants and a short explanation of the type system.</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11 Assignment</dc:title>
</cp:coreProperties>
</file>