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13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13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13"/>
      <w:r>
        <w:rPr>
          <w:rFonts w:ascii="Manrope ExtraBold" w:hAnsi="Manrope ExtraBold"/>
          <w:color w:val="3C2DDB"/>
          <w:sz w:val="30"/>
          <w:szCs w:val="30"/>
        </w:rPr>
        <w:t xml:space="preserve">Day 13 – Interfaces, Static and Final, String API and Object Class</w:t>
      </w:r>
      <w:bookmarkEnd w:id="201"/>
    </w:p>
    <w:p>
      <w:pPr>
        <w:pStyle w:val="Sectioncontent"/>
        <w:spacing w:after="60"/>
      </w:pPr>
      <w:r>
        <w:rPr>
          <w:rFonts w:ascii="Heebo" w:hAnsi="Heebo" w:cs="Heebo"/>
          <w:i/>
          <w:iCs/>
          <w:color w:val="595959"/>
          <w:sz w:val="19"/>
          <w:szCs w:val="19"/>
        </w:rPr>
        <w:t xml:space="preserve">Topics covered: Interface Types · static and final · String Constant Pool · StringBuilder and StringBuffer · equals, hashCode and toString · Records and Text Blocks</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Customer Master De-duplication</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CRM team receives customer records from three channels and needs to remove duplicates reliably.</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a Customer class with equals, hashCode and toString based on a normalised email; prove duplicate removal with a HashSet.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the same value object as a record and compare the generated methods with your handwritten version.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Write string-cleaning methods: trim, case-normalise, split a full name and mask the phone number; show immutability and the effect of the String constant pool using == and equals().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an interface Notifier with a default method and a static helper; implement EmailNotifier and SmsNotifier.</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a marker interface and a functional interface and explain the difference with one use for each.</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demonstration of duplicates removed and an equals/hashCode contract note.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Invoice Text Formatter</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finance team needs plain-text invoices generated for thousands of orders.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Build an invoice string for 1,000 line items using String concatenation, StringBuilder and StringBuffer; measure and compare the time.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Format the invoice using String.format, a text block template and aligned columns with a currency symbol.</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Override toString for Invoice and InvoiceLine and explain how it is used in logging.</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static and final correctly: a static counter for invoice numbers, a static initialiser block and a final tax rate; explain final on a variable, method and class.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instanceof with pattern matching to print different formats for retail and corporate invoices.</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timing table and a sample invoice.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Attendance Report Generator</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training department prints batch attendance reports and requires accurate comparison of learner records.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Learner and Course classes with equals and hashCode and use them as HashMap keys.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Generate a text report of attendance using the String API (format, repeat, strip, substring, join) with aligned columns and percentages.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Parse lines of the form 'L101|Asha|2024-03-01|P' with split and validate; report malformed lines.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an immutable AttendanceRecord using a record and show that its fields cannot be changed.</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Explain the difference between String, StringBuilder and StringBuffer with a thread-safety example.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output and a note on string immutability.</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Day 13 Assignment</dc:title>
</cp:coreProperties>
</file>