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17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17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17"/>
      <w:r>
        <w:rPr>
          <w:rFonts w:ascii="Manrope ExtraBold" w:hAnsi="Manrope ExtraBold"/>
          <w:color w:val="3C2DDB"/>
          <w:sz w:val="30"/>
          <w:szCs w:val="30"/>
        </w:rPr>
        <w:t xml:space="preserve">Day 17 – Threads, Virtual Threads and JDBC</w:t>
      </w:r>
      <w:bookmarkEnd w:id="201"/>
    </w:p>
    <w:p>
      <w:pPr>
        <w:pStyle w:val="Sectioncontent"/>
        <w:spacing w:after="60"/>
      </w:pPr>
      <w:r>
        <w:rPr>
          <w:rFonts w:ascii="Heebo" w:hAnsi="Heebo" w:cs="Heebo"/>
          <w:i/>
          <w:iCs/>
          <w:color w:val="595959"/>
          <w:sz w:val="19"/>
          <w:szCs w:val="19"/>
        </w:rPr>
        <w:t xml:space="preserve">Topics covered: Threads and Virtual Threads · synchronized and Atomic Variables · ExecutorService · JDBC Connection, PreparedStatement, CallableStatement and Transactions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Order Service Persistence Layer</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order service must create, read, update and delete orders in MySQL and place orders through a stored procedure.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Implement an OrderDao with create, findById, updateStatus, delete and list methods using PreparedStatement and try-with-resources.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Call sp_place_order with CallableStatement (IN and OUT parameters) and demonstrate a rollback when stock is insufficient.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Demonstrate a SQL injection against a Statement built by concatenation and prevent it with PreparedStatement.</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Read data from the vw_order_summary view with a ResultSet and map it to records.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an ExecutorService (and a virtual-thread-per-task executor) to place 20 orders concurrently; explain why each task needs its own connection.</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SQL scripts and console evidence of the rollback and injection demonstration.</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Bank Transfer Service with Concurrency</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bank's transfer service must remain correct when many transfers run in parallel.</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Show a race condition on a shared balance with multiple threads; fix it with synchronized and with AtomicLong, and verify the final balance.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Compare platform threads and virtual threads for 10,000 simulated I/O tasks and report the time and memory observations.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Implement TransferService with JDBC: setAutoCommit(false), debit, credit, commit and rollback on any failure.</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Call the stored procedure for the transfer through CallableStatement and map the SQLException to a business exception.</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ConcurrentHashMap to cache account look-ups and explain why a HashMap is unsafe here.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timing table and rollback evidence.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Learner Progress Service</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learning platform reads learner progress from MySQL views and updates progress records concurrently.</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Implement LearnerDao with full CRUD using PreparedStatement and a connection supplied by a factory.</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Read vw_learner_progress and map each row to a record; use batch updates (addBatch/executeBatch) to update 500 progress rows and measure the benefit.</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Use Callable and Future with an ExecutorService to load the progress of 50 learners concurrently.</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Handle SQLException and timeouts with clear exceptions and retries; never log passwords or connection strings.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Explain the purpose of a connection pool and how it would change the DAO.</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Source code, a sample run and a short design note.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17 Assignment</dc:title>
</cp:coreProperties>
</file>