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Arial" w:cs="Arial" w:eastAsia="Arial" w:hAnsi="Arial"/>
          <w:b/>
          <w:bCs/>
          <w:color w:val="1F3864"/>
          <w:sz w:val="56"/>
          <w:szCs w:val="56"/>
        </w:rPr>
        <w:t xml:space="preserve">MCP Server for NAVEX IRM</w:t>
      </w:r>
    </w:p>
    <w:p>
      <w:pPr>
        <w:spacing w:after="0" w:before="120"/>
        <w:jc w:val="center"/>
      </w:pPr>
      <w:r>
        <w:rPr>
          <w:i/>
          <w:iCs/>
          <w:color w:val="2E75B6"/>
          <w:sz w:val="28"/>
          <w:szCs w:val="28"/>
        </w:rPr>
        <w:t xml:space="preserve">A Simple, Honest Look at What It Is, What It Can Do, and What It Costs</w:t>
      </w:r>
    </w:p>
    <w:p>
      <w:pPr>
        <w:pBdr>
          <w:bottom w:val="single" w:color="2E75B6" w:sz="8" w:space="8"/>
        </w:pBdr>
        <w:spacing w:after="0" w:before="80"/>
        <w:jc w:val="center"/>
      </w:pPr>
      <w:r>
        <w:t xml:space="preserve"/>
      </w:r>
    </w:p>
    <w:p>
      <w:pPr>
        <w:spacing w:after="0" w:before="2600"/>
        <w:jc w:val="center"/>
      </w:pPr>
      <w:r>
        <w:rPr>
          <w:color w:val="404040"/>
          <w:sz w:val="24"/>
          <w:szCs w:val="24"/>
        </w:rPr>
        <w:t xml:space="preserve">Prepared by the Cybersecurity / GRC Team</w:t>
      </w:r>
    </w:p>
    <w:p>
      <w:pPr>
        <w:spacing w:before="60"/>
        <w:jc w:val="center"/>
      </w:pPr>
      <w:r>
        <w:rPr>
          <w:color w:val="404040"/>
          <w:sz w:val="24"/>
          <w:szCs w:val="24"/>
        </w:rPr>
        <w:t xml:space="preserve">For: Leadership, Finance, and Core Team Review</w:t>
      </w:r>
    </w:p>
    <w:p>
      <w:pPr>
        <w:spacing w:before="60"/>
        <w:jc w:val="center"/>
      </w:pPr>
      <w:r>
        <w:rPr>
          <w:color w:val="808080"/>
          <w:sz w:val="22"/>
          <w:szCs w:val="22"/>
        </w:rPr>
        <w:t xml:space="preserve">June 2026  ·  Status: Prototype built and in testing</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20" w:line="276"/>
      </w:pPr>
      <w:r>
        <w:rPr>
          <w:b/>
          <w:bCs/>
        </w:rPr>
        <w:t xml:space="preserve">The short version: </w:t>
      </w:r>
      <w:r>
        <w:t xml:space="preserve">Our team automates NAVEX (our GRC platform) today using Microsoft Power Automate with HTTP actions. That approach works for simple jobs but is now hitting hard daily limits — flows are failing, and someone has to step in and fix them by hand. This document proposes a more reliable, lower-maintenance alternative: an </w:t>
      </w:r>
      <w:r>
        <w:rPr>
          <w:b/>
          <w:bCs/>
        </w:rPr>
        <w:t xml:space="preserve">MCP server</w:t>
      </w:r>
      <w:r>
        <w:t xml:space="preserve"> that connects directly to NAVEX. A working prototype is already built and in testing on Microsoft Azure.</w:t>
      </w:r>
    </w:p>
    <w:p>
      <w:pPr>
        <w:spacing w:after="120" w:line="276"/>
      </w:pPr>
      <w:r>
        <w:rPr>
          <w:b/>
          <w:bCs/>
        </w:rPr>
        <w:t xml:space="preserve">What an MCP server is, in one line: </w:t>
      </w:r>
      <w:r>
        <w:t xml:space="preserve">a small, secure piece of software that lets approved tools — including AI assistants — talk to NAVEX in a controlled, auditable way, without the per-action daily caps that Power Automate imposes.</w:t>
      </w:r>
    </w:p>
    <w:p>
      <w:pPr>
        <w:spacing w:after="120" w:line="276"/>
      </w:pPr>
      <w:r>
        <w:rPr>
          <w:b/>
          <w:bCs/>
        </w:rPr>
        <w:t xml:space="preserve">Why it matters to each audience:</w:t>
      </w:r>
    </w:p>
    <w:p>
      <w:pPr>
        <w:pStyle w:val="ListParagraph"/>
        <w:numPr>
          <w:ilvl w:val="0"/>
          <w:numId w:val="2"/>
        </w:numPr>
        <w:spacing w:after="60" w:line="268"/>
      </w:pPr>
      <w:r>
        <w:rPr>
          <w:b/>
          <w:bCs/>
        </w:rPr>
        <w:t xml:space="preserve">Manager / Core team: </w:t>
      </w:r>
      <w:r>
        <w:t xml:space="preserve">fewer failed automations, less manual firefighting, one reusable system instead of 20+ fragile flows, and natural-language access to NAVEX data for analysts.</w:t>
      </w:r>
    </w:p>
    <w:p>
      <w:pPr>
        <w:pStyle w:val="ListParagraph"/>
        <w:numPr>
          <w:ilvl w:val="0"/>
          <w:numId w:val="2"/>
        </w:numPr>
        <w:spacing w:after="60" w:line="268"/>
      </w:pPr>
      <w:r>
        <w:rPr>
          <w:b/>
          <w:bCs/>
        </w:rPr>
        <w:t xml:space="preserve">Finance: </w:t>
      </w:r>
      <w:r>
        <w:t xml:space="preserve">the prototype runs for an estimated US $20–55 per month in Azure infrastructure (see Section 6). This is infrastructure cost only and excludes staff time.</w:t>
      </w:r>
    </w:p>
    <w:p>
      <w:pPr>
        <w:pStyle w:val="ListParagraph"/>
        <w:numPr>
          <w:ilvl w:val="0"/>
          <w:numId w:val="2"/>
        </w:numPr>
        <w:spacing w:after="60" w:line="268"/>
      </w:pPr>
      <w:r>
        <w:rPr>
          <w:b/>
          <w:bCs/>
        </w:rPr>
        <w:t xml:space="preserve">Security / Compliance: </w:t>
      </w:r>
      <w:r>
        <w:t xml:space="preserve">because NAVEX is a GRC system, the design keeps credentials in protected storage, logs every action for audit, and requires guardrails before any AI is allowed to change records. These risks are real and are addressed honestly in Section 7.</w:t>
      </w:r>
    </w:p>
    <w:p>
      <w:pPr>
        <w:spacing w:after="120" w:line="276"/>
      </w:pPr>
      <w:r>
        <w:rPr>
          <w:b/>
          <w:bCs/>
        </w:rPr>
        <w:t xml:space="preserve">Our recommendation: </w:t>
      </w:r>
      <w:r>
        <w:t xml:space="preserve">adopt the MCP server through a phased pilot. Keep Power Automate for what it already does well, and move the high-volume, frequently-failing flows to the MCP server first. Full reasoning and next steps are in Section 8.</w:t>
      </w:r>
    </w:p>
    <w:p>
      <w:r>
        <w:br w:type="page"/>
      </w:r>
    </w:p>
    <w:p>
      <w:pPr>
        <w:pStyle w:val="Heading1"/>
      </w:pPr>
      <w:r>
        <w:t xml:space="preserve">1. The Problem We Have Today</w:t>
      </w:r>
    </w:p>
    <w:p>
      <w:pPr>
        <w:spacing w:after="120" w:line="276"/>
      </w:pPr>
      <w:r>
        <w:t xml:space="preserve">Our cybersecurity team uses NAVEX as the organisation's </w:t>
      </w:r>
      <w:r>
        <w:rPr>
          <w:b/>
          <w:bCs/>
        </w:rPr>
        <w:t xml:space="preserve">GRC (Governance, Risk, and Compliance) </w:t>
      </w:r>
      <w:r>
        <w:t xml:space="preserve">tool. To save manual effort, we built automations in </w:t>
      </w:r>
      <w:r>
        <w:rPr>
          <w:b/>
          <w:bCs/>
        </w:rPr>
        <w:t xml:space="preserve">Microsoft Power Automate</w:t>
      </w:r>
      <w:r>
        <w:t xml:space="preserve"> that call NAVEX through </w:t>
      </w:r>
      <w:r>
        <w:rPr>
          <w:b/>
          <w:bCs/>
        </w:rPr>
        <w:t xml:space="preserve">HTTP actions</w:t>
      </w:r>
      <w:r>
        <w:t xml:space="preserve">. These automations do useful, recurring work.</w:t>
      </w:r>
    </w:p>
    <w:p>
      <w:pPr>
        <w:pStyle w:val="Heading2"/>
      </w:pPr>
      <w:r>
        <w:t xml:space="preserve">1.1 What we automate today</w:t>
      </w:r>
    </w:p>
    <w:p>
      <w:pPr>
        <w:pStyle w:val="ListParagraph"/>
        <w:numPr>
          <w:ilvl w:val="0"/>
          <w:numId w:val="2"/>
        </w:numPr>
        <w:spacing w:after="60" w:line="268"/>
      </w:pPr>
      <w:r>
        <w:t xml:space="preserve">Updating </w:t>
      </w:r>
      <w:r>
        <w:rPr>
          <w:b/>
          <w:bCs/>
        </w:rPr>
        <w:t xml:space="preserve">risk records and TPRA (third-party risk) records</w:t>
      </w:r>
      <w:r>
        <w:t xml:space="preserve"> in NAVEX.</w:t>
      </w:r>
    </w:p>
    <w:p>
      <w:pPr>
        <w:pStyle w:val="ListParagraph"/>
        <w:numPr>
          <w:ilvl w:val="0"/>
          <w:numId w:val="2"/>
        </w:numPr>
        <w:spacing w:after="60" w:line="268"/>
      </w:pPr>
      <w:r>
        <w:t xml:space="preserve">Generating and sending out </w:t>
      </w:r>
      <w:r>
        <w:rPr>
          <w:b/>
          <w:bCs/>
        </w:rPr>
        <w:t xml:space="preserve">NAVEX reports</w:t>
      </w:r>
      <w:r>
        <w:t xml:space="preserve"> on a schedule — weekly, daily, and monthly.</w:t>
      </w:r>
    </w:p>
    <w:p>
      <w:pPr>
        <w:pStyle w:val="ListParagraph"/>
        <w:numPr>
          <w:ilvl w:val="0"/>
          <w:numId w:val="2"/>
        </w:numPr>
        <w:spacing w:after="60" w:line="268"/>
      </w:pPr>
      <w:r>
        <w:t xml:space="preserve">Around </w:t>
      </w:r>
      <w:r>
        <w:rPr>
          <w:b/>
          <w:bCs/>
        </w:rPr>
        <w:t xml:space="preserve">20+ flows</w:t>
      </w:r>
      <w:r>
        <w:t xml:space="preserve"> in total, several of which run on a </w:t>
      </w:r>
      <w:r>
        <w:rPr>
          <w:b/>
          <w:bCs/>
        </w:rPr>
        <w:t xml:space="preserve">5-minute recurrence</w:t>
      </w:r>
      <w:r>
        <w:t xml:space="preserve"> (i.e., they fire roughly 288 times per day, each).</w:t>
      </w:r>
    </w:p>
    <w:p>
      <w:pPr>
        <w:pStyle w:val="Heading2"/>
      </w:pPr>
      <w:r>
        <w:t xml:space="preserve">1.2 What is going wrong</w:t>
      </w:r>
    </w:p>
    <w:p>
      <w:pPr>
        <w:spacing w:after="120" w:line="276"/>
      </w:pPr>
      <w:r>
        <w:t xml:space="preserve">We are hitting Power Automate's </w:t>
      </w:r>
      <w:r>
        <w:rPr>
          <w:b/>
          <w:bCs/>
        </w:rPr>
        <w:t xml:space="preserve">daily API request caps</w:t>
      </w:r>
      <w:r>
        <w:t xml:space="preserve">. When the cap is reached, flows are </w:t>
      </w:r>
      <w:r>
        <w:rPr>
          <w:b/>
          <w:bCs/>
        </w:rPr>
        <w:t xml:space="preserve">throttled and then fail</w:t>
      </w:r>
      <w:r>
        <w:t xml:space="preserve"> — and someone on the team has to notice, investigate, and re-run them manually. The business impact is real: reports don't go out on time, record updates stall, and our people lose hours to firefighting that the automation was supposed to remove.</w:t>
      </w:r>
    </w:p>
    <w:p>
      <w:pPr>
        <w:pStyle w:val="Heading2"/>
      </w:pPr>
      <w:r>
        <w:t xml:space="preserve">1.3 Why this happens (plain explanation)</w:t>
      </w:r>
    </w:p>
    <w:p>
      <w:pPr>
        <w:spacing w:after="120" w:line="276"/>
      </w:pPr>
      <w:r>
        <w:t xml:space="preserve">In the Microsoft Power Platform, </w:t>
      </w:r>
      <w:r>
        <w:rPr>
          <w:b/>
          <w:bCs/>
        </w:rPr>
        <w:t xml:space="preserve">every single action a flow performs counts as one API request</w:t>
      </w:r>
      <w:r>
        <w:t xml:space="preserve"> against a daily allowance tied to the licence. Paid Power Automate user licences typically allow on the order of </w:t>
      </w:r>
      <w:r>
        <w:rPr>
          <w:b/>
          <w:bCs/>
        </w:rPr>
        <w:t xml:space="preserve">40,000 requests per 24 hours</w:t>
      </w:r>
      <w:r>
        <w:t xml:space="preserve"> per user (higher-tier per-flow / Process licences allow more). If usage stays over the limit, Microsoft can throttle the flows and, after sustained violation, suspend them. Buying more headroom means purchasing capacity add-on packs (roughly +50,000 requests/24h each) — an ongoing extra cost.</w:t>
      </w:r>
    </w:p>
    <w:p>
      <w:pPr>
        <w:spacing w:after="120" w:line="276"/>
      </w:pPr>
      <w:r>
        <w:rPr>
          <w:b/>
          <w:bCs/>
        </w:rPr>
        <w:t xml:space="preserve">A quick illustration of how fast this adds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2030"/>
        <w:gridCol w:w="2030"/>
      </w:tblGrid>
      <w:tr>
        <w:tc>
          <w:tcPr>
            <w:tcW w:type="dxa" w:w="34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rPr>
              <w:t xml:space="preserve">Flow type</w:t>
            </w:r>
          </w:p>
        </w:tc>
        <w:tc>
          <w:tcPr>
            <w:tcW w:type="dxa" w:w="1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jc w:val="center"/>
            </w:pPr>
            <w:r>
              <w:rPr>
                <w:b/>
                <w:bCs/>
              </w:rPr>
              <w:t xml:space="preserve">Runs / day</w:t>
            </w:r>
          </w:p>
        </w:tc>
        <w:tc>
          <w:tcPr>
            <w:tcW w:type="dxa" w:w="203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jc w:val="center"/>
            </w:pPr>
            <w:r>
              <w:rPr>
                <w:b/>
                <w:bCs/>
              </w:rPr>
              <w:t xml:space="preserve">Actions / run</w:t>
            </w:r>
          </w:p>
        </w:tc>
        <w:tc>
          <w:tcPr>
            <w:tcW w:type="dxa" w:w="203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jc w:val="center"/>
            </w:pPr>
            <w:r>
              <w:rPr>
                <w:b/>
                <w:bCs/>
              </w:rPr>
              <w:t xml:space="preserve">Requests / day</w:t>
            </w:r>
          </w:p>
        </w:tc>
      </w:tr>
      <w:tr>
        <w:tc>
          <w:tcPr>
            <w:tcW w:type="dxa" w:w="340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One flow on 5-min recurrence</w:t>
            </w:r>
          </w:p>
        </w:tc>
        <w:tc>
          <w:tcPr>
            <w:tcW w:type="dxa" w:w="19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center"/>
            </w:pPr>
            <w:r>
              <w:rPr>
                <w:b w:val="false"/>
                <w:bCs w:val="false"/>
              </w:rPr>
              <w:t xml:space="preserve">288</w:t>
            </w:r>
          </w:p>
        </w:tc>
        <w:tc>
          <w:tcPr>
            <w:tcW w:type="dxa" w:w="203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center"/>
            </w:pPr>
            <w:r>
              <w:rPr>
                <w:b w:val="false"/>
                <w:bCs w:val="false"/>
              </w:rPr>
              <w:t xml:space="preserve">~8</w:t>
            </w:r>
          </w:p>
        </w:tc>
        <w:tc>
          <w:tcPr>
            <w:tcW w:type="dxa" w:w="203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center"/>
            </w:pPr>
            <w:r>
              <w:rPr>
                <w:b w:val="false"/>
                <w:bCs w:val="false"/>
              </w:rPr>
              <w:t xml:space="preserve">~2,300</w:t>
            </w:r>
          </w:p>
        </w:tc>
      </w:tr>
      <w:tr>
        <w:tc>
          <w:tcPr>
            <w:tcW w:type="dxa" w:w="340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Just 15 such flows</w:t>
            </w:r>
          </w:p>
        </w:tc>
        <w:tc>
          <w:tcPr>
            <w:tcW w:type="dxa" w:w="19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center"/>
            </w:pPr>
            <w:r>
              <w:rPr>
                <w:b w:val="false"/>
                <w:bCs w:val="false"/>
              </w:rPr>
              <w:t xml:space="preserve">—</w:t>
            </w:r>
          </w:p>
        </w:tc>
        <w:tc>
          <w:tcPr>
            <w:tcW w:type="dxa" w:w="203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center"/>
            </w:pPr>
            <w:r>
              <w:rPr>
                <w:b w:val="false"/>
                <w:bCs w:val="false"/>
              </w:rPr>
              <w:t xml:space="preserve">—</w:t>
            </w:r>
          </w:p>
        </w:tc>
        <w:tc>
          <w:tcPr>
            <w:tcW w:type="dxa" w:w="2030"/>
            <w:tcBorders>
              <w:top w:val="single" w:color="BFBFBF" w:sz="1"/>
              <w:left w:val="single" w:color="BFBFBF" w:sz="1"/>
              <w:bottom w:val="single" w:color="BFBFBF" w:sz="1"/>
              <w:right w:val="single" w:color="BFBFBF" w:sz="1"/>
            </w:tcBorders>
            <w:shd w:fill="FBE4E4" w:val="clear"/>
            <w:tcMar>
              <w:top w:type="dxa" w:w="70"/>
              <w:left w:type="dxa" w:w="110"/>
              <w:bottom w:type="dxa" w:w="70"/>
              <w:right w:type="dxa" w:w="110"/>
            </w:tcMar>
          </w:tcPr>
          <w:p>
            <w:pPr>
              <w:jc w:val="center"/>
            </w:pPr>
            <w:r>
              <w:rPr>
                <w:b/>
                <w:bCs/>
              </w:rPr>
              <w:t xml:space="preserve">~34,500</w:t>
            </w:r>
          </w:p>
        </w:tc>
      </w:tr>
      <w:tr>
        <w:tc>
          <w:tcPr>
            <w:tcW w:type="dxa" w:w="340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Plus 20+ other scheduled / on-demand flows</w:t>
            </w:r>
          </w:p>
        </w:tc>
        <w:tc>
          <w:tcPr>
            <w:tcW w:type="dxa" w:w="19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center"/>
            </w:pPr>
            <w:r>
              <w:rPr>
                <w:b w:val="false"/>
                <w:bCs w:val="false"/>
              </w:rPr>
              <w:t xml:space="preserve">—</w:t>
            </w:r>
          </w:p>
        </w:tc>
        <w:tc>
          <w:tcPr>
            <w:tcW w:type="dxa" w:w="203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center"/>
            </w:pPr>
            <w:r>
              <w:rPr>
                <w:b w:val="false"/>
                <w:bCs w:val="false"/>
              </w:rPr>
              <w:t xml:space="preserve">—</w:t>
            </w:r>
          </w:p>
        </w:tc>
        <w:tc>
          <w:tcPr>
            <w:tcW w:type="dxa" w:w="2030"/>
            <w:tcBorders>
              <w:top w:val="single" w:color="BFBFBF" w:sz="1"/>
              <w:left w:val="single" w:color="BFBFBF" w:sz="1"/>
              <w:bottom w:val="single" w:color="BFBFBF" w:sz="1"/>
              <w:right w:val="single" w:color="BFBFBF" w:sz="1"/>
            </w:tcBorders>
            <w:shd w:fill="FBE4E4" w:val="clear"/>
            <w:tcMar>
              <w:top w:type="dxa" w:w="70"/>
              <w:left w:type="dxa" w:w="110"/>
              <w:bottom w:type="dxa" w:w="70"/>
              <w:right w:type="dxa" w:w="110"/>
            </w:tcMar>
          </w:tcPr>
          <w:p>
            <w:pPr>
              <w:jc w:val="center"/>
            </w:pPr>
            <w:r>
              <w:rPr>
                <w:b/>
                <w:bCs/>
              </w:rPr>
              <w:t xml:space="preserve">Over the 40,000 cap</w:t>
            </w:r>
          </w:p>
        </w:tc>
      </w:tr>
    </w:tbl>
    <w:p>
      <w:pPr>
        <w:spacing w:after="80"/>
      </w:pPr>
      <w:r>
        <w:t xml:space="preserve"/>
      </w:r>
    </w:p>
    <w:p>
      <w:pPr>
        <w:spacing w:after="120" w:line="276"/>
      </w:pPr>
      <w:r>
        <w:rPr>
          <w:i/>
          <w:iCs/>
          <w:color w:val="808080"/>
          <w:sz w:val="20"/>
          <w:szCs w:val="20"/>
        </w:rPr>
        <w:t xml:space="preserve">Figures are illustrative to show the mechanism; actual request counts depend on how each flow is built. The point: heavy 5-minute recurrence flows consume the daily allowance very quickly, which matches the failures we are seeing.</w:t>
      </w:r>
    </w:p>
    <w:p>
      <w:pPr>
        <w:spacing w:after="120" w:line="276"/>
      </w:pPr>
      <w:r>
        <w:rPr>
          <w:b/>
          <w:bCs/>
        </w:rPr>
        <w:t xml:space="preserve">In short: </w:t>
      </w:r>
      <w:r>
        <w:t xml:space="preserve">the limit is structural, not a bug we can configure away. We can keep buying add-on capacity, or we can change the approach.</w:t>
      </w:r>
    </w:p>
    <w:p>
      <w:r>
        <w:br w:type="page"/>
      </w:r>
    </w:p>
    <w:p>
      <w:pPr>
        <w:pStyle w:val="Heading1"/>
      </w:pPr>
      <w:r>
        <w:t xml:space="preserve">2. What Is an MCP Server?</w:t>
      </w:r>
    </w:p>
    <w:p>
      <w:pPr>
        <w:spacing w:after="120" w:line="276"/>
      </w:pPr>
      <w:r>
        <w:rPr>
          <w:b/>
          <w:bCs/>
        </w:rPr>
        <w:t xml:space="preserve">MCP </w:t>
      </w:r>
      <w:r>
        <w:t xml:space="preserve">stands for </w:t>
      </w:r>
      <w:r>
        <w:rPr>
          <w:b/>
          <w:bCs/>
        </w:rPr>
        <w:t xml:space="preserve">Model Context Protocol</w:t>
      </w:r>
      <w:r>
        <w:t xml:space="preserve">. It is an open standard (introduced in late 2024) that defines a common way for software tools — especially AI assistants — to securely connect to outside systems like NAVEX, databases, or file stores.</w:t>
      </w:r>
    </w:p>
    <w:p>
      <w:pPr>
        <w:spacing w:after="120" w:line="276"/>
      </w:pPr>
      <w:r>
        <w:t xml:space="preserve">An </w:t>
      </w:r>
      <w:r>
        <w:rPr>
          <w:b/>
          <w:bCs/>
        </w:rPr>
        <w:t xml:space="preserve">MCP server</w:t>
      </w:r>
      <w:r>
        <w:t xml:space="preserve"> is a small program we run that sits between a requester (a person using an AI assistant, a script, or another system) and NAVEX. It exposes NAVEX's capabilities as a clean, controlled set of “tools” the requester can use — for example, “list open risk records,” “update a TPRA record,” or “export this report as PDF.”</w:t>
      </w:r>
    </w:p>
    <w:p>
      <w:pPr>
        <w:pStyle w:val="Heading2"/>
      </w:pPr>
      <w:r>
        <w:t xml:space="preserve">2.1 A simple analogy</w:t>
      </w:r>
    </w:p>
    <w:p>
      <w:pPr>
        <w:spacing w:after="120" w:line="276"/>
      </w:pPr>
      <w:r>
        <w:t xml:space="preserve">Think of the MCP server as a </w:t>
      </w:r>
      <w:r>
        <w:rPr>
          <w:b/>
          <w:bCs/>
        </w:rPr>
        <w:t xml:space="preserve">professional translator and gatekeeper</w:t>
      </w:r>
      <w:r>
        <w:t xml:space="preserve"> standing at the door of NAVEX. Instead of every flow and every person learning NAVEX's technical language and carrying their own keys, they make a plain request to the translator. The translator (the MCP server) checks who is asking, speaks fluent “NAVEX,” fetches or changes exactly what's allowed, writes down what happened in a logbook, and hands back the answer.</w:t>
      </w:r>
    </w:p>
    <w:p>
      <w:pPr>
        <w:pStyle w:val="Heading2"/>
      </w:pPr>
      <w:r>
        <w:t xml:space="preserve">2.2 How it compares to what we do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c>
          <w:tcPr>
            <w:tcW w:type="dxa" w:w="23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rPr>
              <w:t xml:space="preserve"/>
            </w:r>
          </w:p>
        </w:tc>
        <w:tc>
          <w:tcPr>
            <w:tcW w:type="dxa" w:w="353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rPr>
              <w:t xml:space="preserve">Power Automate (today)</w:t>
            </w:r>
          </w:p>
        </w:tc>
        <w:tc>
          <w:tcPr>
            <w:tcW w:type="dxa" w:w="353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rPr>
              <w:t xml:space="preserve">MCP Server (proposed)</w:t>
            </w:r>
          </w:p>
        </w:tc>
      </w:tr>
      <w:tr>
        <w:tc>
          <w:tcPr>
            <w:tcW w:type="dxa" w:w="2300"/>
            <w:tcBorders>
              <w:top w:val="single" w:color="BFBFBF" w:sz="1"/>
              <w:left w:val="single" w:color="BFBFBF" w:sz="1"/>
              <w:bottom w:val="single" w:color="BFBFBF" w:sz="1"/>
              <w:right w:val="single" w:color="BFBFBF" w:sz="1"/>
            </w:tcBorders>
            <w:shd w:fill="EDF2FB" w:val="clear"/>
            <w:tcMar>
              <w:top w:type="dxa" w:w="70"/>
              <w:left w:type="dxa" w:w="110"/>
              <w:bottom w:type="dxa" w:w="70"/>
              <w:right w:type="dxa" w:w="110"/>
            </w:tcMar>
          </w:tcPr>
          <w:p>
            <w:r>
              <w:rPr>
                <w:b/>
                <w:bCs/>
              </w:rPr>
              <w:t xml:space="preserve">What it is</w:t>
            </w:r>
          </w:p>
        </w:tc>
        <w:tc>
          <w:tcPr>
            <w:tcW w:type="dxa" w:w="353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A no-code workflow tool with HTTP actions</w:t>
            </w:r>
          </w:p>
        </w:tc>
        <w:tc>
          <w:tcPr>
            <w:tcW w:type="dxa" w:w="353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A small custom service dedicated to NAVEX</w:t>
            </w:r>
          </w:p>
        </w:tc>
      </w:tr>
      <w:tr>
        <w:tc>
          <w:tcPr>
            <w:tcW w:type="dxa" w:w="2300"/>
            <w:tcBorders>
              <w:top w:val="single" w:color="BFBFBF" w:sz="1"/>
              <w:left w:val="single" w:color="BFBFBF" w:sz="1"/>
              <w:bottom w:val="single" w:color="BFBFBF" w:sz="1"/>
              <w:right w:val="single" w:color="BFBFBF" w:sz="1"/>
            </w:tcBorders>
            <w:shd w:fill="EDF2FB" w:val="clear"/>
            <w:tcMar>
              <w:top w:type="dxa" w:w="70"/>
              <w:left w:type="dxa" w:w="110"/>
              <w:bottom w:type="dxa" w:w="70"/>
              <w:right w:type="dxa" w:w="110"/>
            </w:tcMar>
          </w:tcPr>
          <w:p>
            <w:r>
              <w:rPr>
                <w:b/>
                <w:bCs/>
              </w:rPr>
              <w:t xml:space="preserve">Daily limits</w:t>
            </w:r>
          </w:p>
        </w:tc>
        <w:tc>
          <w:tcPr>
            <w:tcW w:type="dxa" w:w="3530"/>
            <w:tcBorders>
              <w:top w:val="single" w:color="BFBFBF" w:sz="1"/>
              <w:left w:val="single" w:color="BFBFBF" w:sz="1"/>
              <w:bottom w:val="single" w:color="BFBFBF" w:sz="1"/>
              <w:right w:val="single" w:color="BFBFBF" w:sz="1"/>
            </w:tcBorders>
            <w:shd w:fill="FBE4E4" w:val="clear"/>
            <w:tcMar>
              <w:top w:type="dxa" w:w="70"/>
              <w:left w:type="dxa" w:w="110"/>
              <w:bottom w:type="dxa" w:w="70"/>
              <w:right w:type="dxa" w:w="110"/>
            </w:tcMar>
          </w:tcPr>
          <w:p>
            <w:r>
              <w:rPr>
                <w:b w:val="false"/>
                <w:bCs w:val="false"/>
              </w:rPr>
              <w:t xml:space="preserve">Hard per-licence request caps; throttling and failures</w:t>
            </w:r>
          </w:p>
        </w:tc>
        <w:tc>
          <w:tcPr>
            <w:tcW w:type="dxa" w:w="353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tcPr>
          <w:p>
            <w:r>
              <w:rPr>
                <w:b w:val="false"/>
                <w:bCs w:val="false"/>
              </w:rPr>
              <w:t xml:space="preserve">No Power Platform caps; we control batching, retries, and caching</w:t>
            </w:r>
          </w:p>
        </w:tc>
      </w:tr>
      <w:tr>
        <w:tc>
          <w:tcPr>
            <w:tcW w:type="dxa" w:w="2300"/>
            <w:tcBorders>
              <w:top w:val="single" w:color="BFBFBF" w:sz="1"/>
              <w:left w:val="single" w:color="BFBFBF" w:sz="1"/>
              <w:bottom w:val="single" w:color="BFBFBF" w:sz="1"/>
              <w:right w:val="single" w:color="BFBFBF" w:sz="1"/>
            </w:tcBorders>
            <w:shd w:fill="EDF2FB" w:val="clear"/>
            <w:tcMar>
              <w:top w:type="dxa" w:w="70"/>
              <w:left w:type="dxa" w:w="110"/>
              <w:bottom w:type="dxa" w:w="70"/>
              <w:right w:type="dxa" w:w="110"/>
            </w:tcMar>
          </w:tcPr>
          <w:p>
            <w:r>
              <w:rPr>
                <w:b/>
                <w:bCs/>
              </w:rPr>
              <w:t xml:space="preserve">Reuse</w:t>
            </w:r>
          </w:p>
        </w:tc>
        <w:tc>
          <w:tcPr>
            <w:tcW w:type="dxa" w:w="353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Each flow rebuilds similar logic; 20+ to maintain</w:t>
            </w:r>
          </w:p>
        </w:tc>
        <w:tc>
          <w:tcPr>
            <w:tcW w:type="dxa" w:w="353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One server, reused by many tools and people</w:t>
            </w:r>
          </w:p>
        </w:tc>
      </w:tr>
      <w:tr>
        <w:tc>
          <w:tcPr>
            <w:tcW w:type="dxa" w:w="2300"/>
            <w:tcBorders>
              <w:top w:val="single" w:color="BFBFBF" w:sz="1"/>
              <w:left w:val="single" w:color="BFBFBF" w:sz="1"/>
              <w:bottom w:val="single" w:color="BFBFBF" w:sz="1"/>
              <w:right w:val="single" w:color="BFBFBF" w:sz="1"/>
            </w:tcBorders>
            <w:shd w:fill="EDF2FB" w:val="clear"/>
            <w:tcMar>
              <w:top w:type="dxa" w:w="70"/>
              <w:left w:type="dxa" w:w="110"/>
              <w:bottom w:type="dxa" w:w="70"/>
              <w:right w:type="dxa" w:w="110"/>
            </w:tcMar>
          </w:tcPr>
          <w:p>
            <w:r>
              <w:rPr>
                <w:b/>
                <w:bCs/>
              </w:rPr>
              <w:t xml:space="preserve">AI access</w:t>
            </w:r>
          </w:p>
        </w:tc>
        <w:tc>
          <w:tcPr>
            <w:tcW w:type="dxa" w:w="353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Not designed for natural-language queries</w:t>
            </w:r>
          </w:p>
        </w:tc>
        <w:tc>
          <w:tcPr>
            <w:tcW w:type="dxa" w:w="353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Built for AI assistants to query NAVEX in plain English</w:t>
            </w:r>
          </w:p>
        </w:tc>
      </w:tr>
      <w:tr>
        <w:tc>
          <w:tcPr>
            <w:tcW w:type="dxa" w:w="2300"/>
            <w:tcBorders>
              <w:top w:val="single" w:color="BFBFBF" w:sz="1"/>
              <w:left w:val="single" w:color="BFBFBF" w:sz="1"/>
              <w:bottom w:val="single" w:color="BFBFBF" w:sz="1"/>
              <w:right w:val="single" w:color="BFBFBF" w:sz="1"/>
            </w:tcBorders>
            <w:shd w:fill="EDF2FB" w:val="clear"/>
            <w:tcMar>
              <w:top w:type="dxa" w:w="70"/>
              <w:left w:type="dxa" w:w="110"/>
              <w:bottom w:type="dxa" w:w="70"/>
              <w:right w:type="dxa" w:w="110"/>
            </w:tcMar>
          </w:tcPr>
          <w:p>
            <w:r>
              <w:rPr>
                <w:b/>
                <w:bCs/>
              </w:rPr>
              <w:t xml:space="preserve">Ownership</w:t>
            </w:r>
          </w:p>
        </w:tc>
        <w:tc>
          <w:tcPr>
            <w:tcW w:type="dxa" w:w="353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Low-code; easy to start, hard to scale</w:t>
            </w:r>
          </w:p>
        </w:tc>
        <w:tc>
          <w:tcPr>
            <w:tcW w:type="dxa" w:w="3530"/>
            <w:tcBorders>
              <w:top w:val="single" w:color="BFBFBF" w:sz="1"/>
              <w:left w:val="single" w:color="BFBFBF" w:sz="1"/>
              <w:bottom w:val="single" w:color="BFBFBF" w:sz="1"/>
              <w:right w:val="single" w:color="BFBFBF" w:sz="1"/>
            </w:tcBorders>
            <w:shd w:fill="FBE4E4" w:val="clear"/>
            <w:tcMar>
              <w:top w:type="dxa" w:w="70"/>
              <w:left w:type="dxa" w:w="110"/>
              <w:bottom w:type="dxa" w:w="70"/>
              <w:right w:type="dxa" w:w="110"/>
            </w:tcMar>
          </w:tcPr>
          <w:p>
            <w:r>
              <w:rPr>
                <w:b w:val="false"/>
                <w:bCs w:val="false"/>
              </w:rPr>
              <w:t xml:space="preserve">Real software; needs engineering ownership</w:t>
            </w:r>
          </w:p>
        </w:tc>
      </w:tr>
    </w:tbl>
    <w:p>
      <w:r>
        <w:br w:type="page"/>
      </w:r>
    </w:p>
    <w:p>
      <w:pPr>
        <w:pStyle w:val="Heading1"/>
      </w:pPr>
      <w:r>
        <w:t xml:space="preserve">3. What It Can Do With NAVEX (Capabilities, Feasibility, Examples)</w:t>
      </w:r>
    </w:p>
    <w:p>
      <w:pPr>
        <w:spacing w:after="120" w:line="276"/>
      </w:pPr>
      <w:r>
        <w:t xml:space="preserve">NAVEX IRM exposes REST APIs grouped into Security services (users and groups), Component services (the records, fields, and workflows that hold our risk and TPRA data), Report services (CSV / PDF / XLSX exports), and Assessment services. The MCP server makes these available as safe, named tools. Our prototype already connects to NAVEX, which proves the core feasibility.</w:t>
      </w:r>
    </w:p>
    <w:p>
      <w:pPr>
        <w:pStyle w:val="Heading2"/>
      </w:pPr>
      <w:r>
        <w:t xml:space="preserve">3.1 Capabilities the MCP server can expose</w:t>
      </w:r>
    </w:p>
    <w:p>
      <w:pPr>
        <w:pStyle w:val="ListParagraph"/>
        <w:numPr>
          <w:ilvl w:val="0"/>
          <w:numId w:val="2"/>
        </w:numPr>
        <w:spacing w:after="60" w:line="268"/>
      </w:pPr>
      <w:r>
        <w:rPr>
          <w:b/>
          <w:bCs/>
        </w:rPr>
        <w:t xml:space="preserve">Read and search records: </w:t>
      </w:r>
      <w:r>
        <w:t xml:space="preserve">“Show me all open high-risk TPRA records assigned to my team.”</w:t>
      </w:r>
    </w:p>
    <w:p>
      <w:pPr>
        <w:pStyle w:val="ListParagraph"/>
        <w:numPr>
          <w:ilvl w:val="0"/>
          <w:numId w:val="2"/>
        </w:numPr>
        <w:spacing w:after="60" w:line="268"/>
      </w:pPr>
      <w:r>
        <w:rPr>
          <w:b/>
          <w:bCs/>
        </w:rPr>
        <w:t xml:space="preserve">Update records: </w:t>
      </w:r>
      <w:r>
        <w:t xml:space="preserve">change status, owner, or fields on risk / TPRA records — individually or in bulk.</w:t>
      </w:r>
    </w:p>
    <w:p>
      <w:pPr>
        <w:pStyle w:val="ListParagraph"/>
        <w:numPr>
          <w:ilvl w:val="0"/>
          <w:numId w:val="2"/>
        </w:numPr>
        <w:spacing w:after="60" w:line="268"/>
      </w:pPr>
      <w:r>
        <w:rPr>
          <w:b/>
          <w:bCs/>
        </w:rPr>
        <w:t xml:space="preserve">Run and export reports: </w:t>
      </w:r>
      <w:r>
        <w:t xml:space="preserve">generate the weekly / daily / monthly NAVEX reports as CSV, PDF, or XLSX, on demand or on a schedule.</w:t>
      </w:r>
    </w:p>
    <w:p>
      <w:pPr>
        <w:pStyle w:val="ListParagraph"/>
        <w:numPr>
          <w:ilvl w:val="0"/>
          <w:numId w:val="2"/>
        </w:numPr>
        <w:spacing w:after="60" w:line="268"/>
      </w:pPr>
      <w:r>
        <w:rPr>
          <w:b/>
          <w:bCs/>
        </w:rPr>
        <w:t xml:space="preserve">Create and move records through workflow: </w:t>
      </w:r>
      <w:r>
        <w:t xml:space="preserve">create a record, transition it to the next stage, or record a vote / decision.</w:t>
      </w:r>
    </w:p>
    <w:p>
      <w:pPr>
        <w:pStyle w:val="ListParagraph"/>
        <w:numPr>
          <w:ilvl w:val="0"/>
          <w:numId w:val="2"/>
        </w:numPr>
        <w:spacing w:after="60" w:line="268"/>
      </w:pPr>
      <w:r>
        <w:rPr>
          <w:b/>
          <w:bCs/>
        </w:rPr>
        <w:t xml:space="preserve">Issue assessments: </w:t>
      </w:r>
      <w:r>
        <w:t xml:space="preserve">trigger NAVEX assessments programmatically.</w:t>
      </w:r>
    </w:p>
    <w:p>
      <w:pPr>
        <w:pStyle w:val="ListParagraph"/>
        <w:numPr>
          <w:ilvl w:val="0"/>
          <w:numId w:val="2"/>
        </w:numPr>
        <w:spacing w:after="60" w:line="268"/>
      </w:pPr>
      <w:r>
        <w:rPr>
          <w:b/>
          <w:bCs/>
        </w:rPr>
        <w:t xml:space="preserve">Manage users and groups: </w:t>
      </w:r>
      <w:r>
        <w:t xml:space="preserve">look up, create, or update NAVEX users and groups (with appropriate approval controls).</w:t>
      </w:r>
    </w:p>
    <w:p>
      <w:pPr>
        <w:pStyle w:val="ListParagraph"/>
        <w:numPr>
          <w:ilvl w:val="0"/>
          <w:numId w:val="2"/>
        </w:numPr>
        <w:spacing w:after="60" w:line="268"/>
      </w:pPr>
      <w:r>
        <w:rPr>
          <w:b/>
          <w:bCs/>
        </w:rPr>
        <w:t xml:space="preserve">Discover structure automatically: </w:t>
      </w:r>
      <w:r>
        <w:t xml:space="preserve">because NAVEX components and fields are dynamic, the server reads the schema live rather than hard-coding it — so it keeps working when NAVEX configuration changes.</w:t>
      </w:r>
    </w:p>
    <w:p>
      <w:pPr>
        <w:pStyle w:val="Heading2"/>
      </w:pPr>
      <w:r>
        <w:t xml:space="preserve">3.2 Feasibility — an honest grading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c>
          <w:tcPr>
            <w:tcW w:type="dxa" w:w="27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rPr>
              <w:t xml:space="preserve">Capability</w:t>
            </w:r>
          </w:p>
        </w:tc>
        <w:tc>
          <w:tcPr>
            <w:tcW w:type="dxa" w:w="15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jc w:val="center"/>
            </w:pPr>
            <w:r>
              <w:rPr>
                <w:b/>
                <w:bCs/>
              </w:rPr>
              <w:t xml:space="preserve">Feasibility</w:t>
            </w:r>
          </w:p>
        </w:tc>
        <w:tc>
          <w:tcPr>
            <w:tcW w:type="dxa" w:w="51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rPr>
              <w:t xml:space="preserve">Notes</w:t>
            </w:r>
          </w:p>
        </w:tc>
      </w:tr>
      <w:tr>
        <w:tc>
          <w:tcPr>
            <w:tcW w:type="dxa" w:w="270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Read / search / report export</w:t>
            </w:r>
          </w:p>
        </w:tc>
        <w:tc>
          <w:tcPr>
            <w:tcW w:type="dxa" w:w="150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tcPr>
          <w:p>
            <w:pPr>
              <w:jc w:val="center"/>
            </w:pPr>
            <w:r>
              <w:rPr>
                <w:b/>
                <w:bCs/>
              </w:rPr>
              <w:t xml:space="preserve">High</w:t>
            </w:r>
          </w:p>
        </w:tc>
        <w:tc>
          <w:tcPr>
            <w:tcW w:type="dxa" w:w="516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Lowest risk; already the strongest case. Replaces most reporting flows.</w:t>
            </w:r>
          </w:p>
        </w:tc>
      </w:tr>
      <w:tr>
        <w:tc>
          <w:tcPr>
            <w:tcW w:type="dxa" w:w="270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Update / create records</w:t>
            </w:r>
          </w:p>
        </w:tc>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center"/>
            </w:pPr>
            <w:r>
              <w:rPr>
                <w:b/>
                <w:bCs/>
              </w:rPr>
              <w:t xml:space="preserve">Medium</w:t>
            </w:r>
          </w:p>
        </w:tc>
        <w:tc>
          <w:tcPr>
            <w:tcW w:type="dxa" w:w="516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Fully possible; needs validation, approval steps, and audit logging because it changes GRC data.</w:t>
            </w:r>
          </w:p>
        </w:tc>
      </w:tr>
      <w:tr>
        <w:tc>
          <w:tcPr>
            <w:tcW w:type="dxa" w:w="270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Workflow transitions &amp; assessments</w:t>
            </w:r>
          </w:p>
        </w:tc>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center"/>
            </w:pPr>
            <w:r>
              <w:rPr>
                <w:b/>
                <w:bCs/>
              </w:rPr>
              <w:t xml:space="preserve">Medium</w:t>
            </w:r>
          </w:p>
        </w:tc>
        <w:tc>
          <w:tcPr>
            <w:tcW w:type="dxa" w:w="516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Works via NAVEX APIs; map each transition carefully to avoid invalid state changes.</w:t>
            </w:r>
          </w:p>
        </w:tc>
      </w:tr>
      <w:tr>
        <w:tc>
          <w:tcPr>
            <w:tcW w:type="dxa" w:w="270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User / group administration</w:t>
            </w:r>
          </w:p>
        </w:tc>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center"/>
            </w:pPr>
            <w:r>
              <w:rPr>
                <w:b/>
                <w:bCs/>
              </w:rPr>
              <w:t xml:space="preserve">Medium</w:t>
            </w:r>
          </w:p>
        </w:tc>
        <w:tc>
          <w:tcPr>
            <w:tcW w:type="dxa" w:w="516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Sensitive; restrict to admins and require explicit confirmation.</w:t>
            </w:r>
          </w:p>
        </w:tc>
      </w:tr>
      <w:tr>
        <w:tc>
          <w:tcPr>
            <w:tcW w:type="dxa" w:w="270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AI natural-language access</w:t>
            </w:r>
          </w:p>
        </w:tc>
        <w:tc>
          <w:tcPr>
            <w:tcW w:type="dxa" w:w="150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tcPr>
          <w:p>
            <w:pPr>
              <w:jc w:val="center"/>
            </w:pPr>
            <w:r>
              <w:rPr>
                <w:b/>
                <w:bCs/>
              </w:rPr>
              <w:t xml:space="preserve">High</w:t>
            </w:r>
          </w:p>
        </w:tc>
        <w:tc>
          <w:tcPr>
            <w:tcW w:type="dxa" w:w="516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Core strength of MCP; pair with read-only scope first, expand later.</w:t>
            </w:r>
          </w:p>
        </w:tc>
      </w:tr>
    </w:tbl>
    <w:p>
      <w:pPr>
        <w:spacing w:after="80"/>
      </w:pPr>
      <w:r>
        <w:t xml:space="preserve"/>
      </w:r>
    </w:p>
    <w:p>
      <w:pPr>
        <w:pStyle w:val="Heading2"/>
      </w:pPr>
      <w:r>
        <w:t xml:space="preserve">3.3 Worked examples</w:t>
      </w:r>
    </w:p>
    <w:p>
      <w:pPr>
        <w:pStyle w:val="ListParagraph"/>
        <w:numPr>
          <w:ilvl w:val="0"/>
          <w:numId w:val="3"/>
        </w:numPr>
        <w:spacing w:after="60" w:line="268"/>
      </w:pPr>
      <w:r>
        <w:rPr>
          <w:b/>
          <w:bCs/>
        </w:rPr>
        <w:t xml:space="preserve">Daily report, reliably. </w:t>
      </w:r>
      <w:r>
        <w:t xml:space="preserve">Instead of a 5-minute flow that keeps tripping the cap, the MCP server generates the daily NAVEX risk report at 7:00 AM, exports it as PDF, and delivers it — with a retry if NAVEX is briefly slow, and a log entry either way.</w:t>
      </w:r>
    </w:p>
    <w:p>
      <w:pPr>
        <w:pStyle w:val="ListParagraph"/>
        <w:numPr>
          <w:ilvl w:val="0"/>
          <w:numId w:val="3"/>
        </w:numPr>
        <w:spacing w:after="60" w:line="268"/>
      </w:pPr>
      <w:r>
        <w:rPr>
          <w:b/>
          <w:bCs/>
        </w:rPr>
        <w:t xml:space="preserve">Analyst self-service. </w:t>
      </w:r>
      <w:r>
        <w:t xml:space="preserve">An analyst asks an approved AI assistant, “How many TPRA records are overdue this quarter, by vendor?” The assistant calls the MCP server, which queries NAVEX and returns the answer in seconds — no flow to build.</w:t>
      </w:r>
    </w:p>
    <w:p>
      <w:pPr>
        <w:pStyle w:val="ListParagraph"/>
        <w:numPr>
          <w:ilvl w:val="0"/>
          <w:numId w:val="3"/>
        </w:numPr>
        <w:spacing w:after="60" w:line="268"/>
      </w:pPr>
      <w:r>
        <w:rPr>
          <w:b/>
          <w:bCs/>
        </w:rPr>
        <w:t xml:space="preserve">Controlled bulk update. </w:t>
      </w:r>
      <w:r>
        <w:t xml:space="preserve">“Mark these 12 remediated risks as Closed.” The server validates each record, applies the change, and writes an audit entry per record — something that is slow and cap-heavy in Power Automate.</w:t>
      </w:r>
    </w:p>
    <w:p>
      <w:r>
        <w:br w:type="page"/>
      </w:r>
    </w:p>
    <w:p>
      <w:pPr>
        <w:pStyle w:val="Heading1"/>
      </w:pPr>
      <w:r>
        <w:t xml:space="preserve">4. Pros and Cons (Balanced)</w:t>
      </w:r>
    </w:p>
    <w:p>
      <w:pPr>
        <w:spacing w:after="120" w:line="276"/>
      </w:pPr>
      <w:r>
        <w:rPr>
          <w:i/>
          <w:iCs/>
        </w:rPr>
        <w:t xml:space="preserve">We are presenting this transparently, including the downsides, so the decision is made with full information.</w:t>
      </w:r>
    </w:p>
    <w:p>
      <w:pPr>
        <w:pStyle w:val="Heading2"/>
      </w:pPr>
      <w:r>
        <w:t xml:space="preserve">4.1 Pros</w:t>
      </w:r>
    </w:p>
    <w:p>
      <w:pPr>
        <w:pStyle w:val="ListParagraph"/>
        <w:numPr>
          <w:ilvl w:val="0"/>
          <w:numId w:val="2"/>
        </w:numPr>
        <w:spacing w:after="60" w:line="268"/>
      </w:pPr>
      <w:r>
        <w:rPr>
          <w:b/>
          <w:bCs/>
        </w:rPr>
        <w:t xml:space="preserve">No Power Platform daily caps. </w:t>
      </w:r>
      <w:r>
        <w:t xml:space="preserve">The server talks to NAVEX directly and controls its own request pacing, batching, caching, and retries — directly addressing the failures we have today.</w:t>
      </w:r>
    </w:p>
    <w:p>
      <w:pPr>
        <w:pStyle w:val="ListParagraph"/>
        <w:numPr>
          <w:ilvl w:val="0"/>
          <w:numId w:val="2"/>
        </w:numPr>
        <w:spacing w:after="60" w:line="268"/>
      </w:pPr>
      <w:r>
        <w:rPr>
          <w:b/>
          <w:bCs/>
        </w:rPr>
        <w:t xml:space="preserve">Fewer moving parts. </w:t>
      </w:r>
      <w:r>
        <w:t xml:space="preserve">One maintained service replaces 20+ separate flows that each duplicate similar logic.</w:t>
      </w:r>
    </w:p>
    <w:p>
      <w:pPr>
        <w:pStyle w:val="ListParagraph"/>
        <w:numPr>
          <w:ilvl w:val="0"/>
          <w:numId w:val="2"/>
        </w:numPr>
        <w:spacing w:after="60" w:line="268"/>
      </w:pPr>
      <w:r>
        <w:rPr>
          <w:b/>
          <w:bCs/>
        </w:rPr>
        <w:t xml:space="preserve">Reliability. </w:t>
      </w:r>
      <w:r>
        <w:t xml:space="preserve">Proper error handling and automatic retries mean fewer 2 AM failures and far less manual firefighting.</w:t>
      </w:r>
    </w:p>
    <w:p>
      <w:pPr>
        <w:pStyle w:val="ListParagraph"/>
        <w:numPr>
          <w:ilvl w:val="0"/>
          <w:numId w:val="2"/>
        </w:numPr>
        <w:spacing w:after="60" w:line="268"/>
      </w:pPr>
      <w:r>
        <w:rPr>
          <w:b/>
          <w:bCs/>
        </w:rPr>
        <w:t xml:space="preserve">Natural-language access. </w:t>
      </w:r>
      <w:r>
        <w:t xml:space="preserve">Analysts can query NAVEX through an AI assistant without building automations.</w:t>
      </w:r>
    </w:p>
    <w:p>
      <w:pPr>
        <w:pStyle w:val="ListParagraph"/>
        <w:numPr>
          <w:ilvl w:val="0"/>
          <w:numId w:val="2"/>
        </w:numPr>
        <w:spacing w:after="60" w:line="268"/>
      </w:pPr>
      <w:r>
        <w:rPr>
          <w:b/>
          <w:bCs/>
        </w:rPr>
        <w:t xml:space="preserve">Visibility. </w:t>
      </w:r>
      <w:r>
        <w:t xml:space="preserve">Centralised, structured logging and audit trails — valuable for a GRC system.</w:t>
      </w:r>
    </w:p>
    <w:p>
      <w:pPr>
        <w:pStyle w:val="ListParagraph"/>
        <w:numPr>
          <w:ilvl w:val="0"/>
          <w:numId w:val="2"/>
        </w:numPr>
        <w:spacing w:after="60" w:line="268"/>
      </w:pPr>
      <w:r>
        <w:rPr>
          <w:b/>
          <w:bCs/>
        </w:rPr>
        <w:t xml:space="preserve">Predictable, low cost. </w:t>
      </w:r>
      <w:r>
        <w:t xml:space="preserve">Estimated tens of dollars per month at prototype scale (Section 6).</w:t>
      </w:r>
    </w:p>
    <w:p>
      <w:pPr>
        <w:pStyle w:val="ListParagraph"/>
        <w:numPr>
          <w:ilvl w:val="0"/>
          <w:numId w:val="2"/>
        </w:numPr>
        <w:spacing w:after="60" w:line="268"/>
      </w:pPr>
      <w:r>
        <w:rPr>
          <w:b/>
          <w:bCs/>
        </w:rPr>
        <w:t xml:space="preserve">Stronger credential handling. </w:t>
      </w:r>
      <w:r>
        <w:t xml:space="preserve">Secrets live in protected storage, not scattered across many flow connections.</w:t>
      </w:r>
    </w:p>
    <w:p>
      <w:pPr>
        <w:pStyle w:val="Heading2"/>
      </w:pPr>
      <w:r>
        <w:t xml:space="preserve">4.2 Cons (and how we address them)</w:t>
      </w:r>
    </w:p>
    <w:p>
      <w:pPr>
        <w:pStyle w:val="ListParagraph"/>
        <w:numPr>
          <w:ilvl w:val="0"/>
          <w:numId w:val="2"/>
        </w:numPr>
        <w:spacing w:after="60" w:line="268"/>
      </w:pPr>
      <w:r>
        <w:rPr>
          <w:b/>
          <w:bCs/>
        </w:rPr>
        <w:t xml:space="preserve">It is real software. </w:t>
      </w:r>
      <w:r>
        <w:t xml:space="preserve">It needs engineering ownership — maintenance, updates, and someone responsible. </w:t>
      </w:r>
      <w:r>
        <w:rPr>
          <w:i/>
          <w:iCs/>
        </w:rPr>
        <w:t xml:space="preserve">Mitigation: assign a clear owner and use the prototype to right-size the effort.</w:t>
      </w:r>
    </w:p>
    <w:p>
      <w:pPr>
        <w:pStyle w:val="ListParagraph"/>
        <w:numPr>
          <w:ilvl w:val="0"/>
          <w:numId w:val="2"/>
        </w:numPr>
        <w:spacing w:after="60" w:line="268"/>
      </w:pPr>
      <w:r>
        <w:rPr>
          <w:b/>
          <w:bCs/>
        </w:rPr>
        <w:t xml:space="preserve">New skill set. </w:t>
      </w:r>
      <w:r>
        <w:t xml:space="preserve">MCP and containers are newer than Power Automate for the team. </w:t>
      </w:r>
      <w:r>
        <w:rPr>
          <w:i/>
          <w:iCs/>
        </w:rPr>
        <w:t xml:space="preserve">Mitigation: documentation, a phased rollout, and reusing the working prototype.</w:t>
      </w:r>
    </w:p>
    <w:p>
      <w:pPr>
        <w:pStyle w:val="ListParagraph"/>
        <w:numPr>
          <w:ilvl w:val="0"/>
          <w:numId w:val="2"/>
        </w:numPr>
        <w:spacing w:after="60" w:line="268"/>
      </w:pPr>
      <w:r>
        <w:rPr>
          <w:b/>
          <w:bCs/>
        </w:rPr>
        <w:t xml:space="preserve">AI touching a GRC system is sensitive. </w:t>
      </w:r>
      <w:r>
        <w:t xml:space="preserve">Letting an assistant change records carries risk. </w:t>
      </w:r>
      <w:r>
        <w:rPr>
          <w:i/>
          <w:iCs/>
        </w:rPr>
        <w:t xml:space="preserve">Mitigation: start read-only, add write actions behind validation and approval, log everything (Section 7).</w:t>
      </w:r>
    </w:p>
    <w:p>
      <w:pPr>
        <w:pStyle w:val="ListParagraph"/>
        <w:numPr>
          <w:ilvl w:val="0"/>
          <w:numId w:val="2"/>
        </w:numPr>
        <w:spacing w:after="60" w:line="268"/>
      </w:pPr>
      <w:r>
        <w:rPr>
          <w:b/>
          <w:bCs/>
        </w:rPr>
        <w:t xml:space="preserve">Not a 100% replacement. </w:t>
      </w:r>
      <w:r>
        <w:t xml:space="preserve">Some scheduling and cross-app orchestration may still fit Power Automate or another scheduler. </w:t>
      </w:r>
      <w:r>
        <w:rPr>
          <w:i/>
          <w:iCs/>
        </w:rPr>
        <w:t xml:space="preserve">Mitigation: keep a hybrid model — use each tool where it is strongest.</w:t>
      </w:r>
    </w:p>
    <w:p>
      <w:pPr>
        <w:pStyle w:val="ListParagraph"/>
        <w:numPr>
          <w:ilvl w:val="0"/>
          <w:numId w:val="2"/>
        </w:numPr>
        <w:spacing w:after="60" w:line="268"/>
      </w:pPr>
      <w:r>
        <w:rPr>
          <w:b/>
          <w:bCs/>
        </w:rPr>
        <w:t xml:space="preserve">Standard maturity. </w:t>
      </w:r>
      <w:r>
        <w:t xml:space="preserve">MCP is new and still evolving. </w:t>
      </w:r>
      <w:r>
        <w:rPr>
          <w:i/>
          <w:iCs/>
        </w:rPr>
        <w:t xml:space="preserve">Mitigation: it is an open standard with broad industry backing; our design isolates NAVEX logic so we can adapt.</w:t>
      </w:r>
    </w:p>
    <w:p>
      <w:pPr>
        <w:pStyle w:val="ListParagraph"/>
        <w:numPr>
          <w:ilvl w:val="0"/>
          <w:numId w:val="2"/>
        </w:numPr>
        <w:spacing w:after="60" w:line="268"/>
      </w:pPr>
      <w:r>
        <w:rPr>
          <w:b/>
          <w:bCs/>
        </w:rPr>
        <w:t xml:space="preserve">NAVEX-side limits still exist. </w:t>
      </w:r>
      <w:r>
        <w:t xml:space="preserve">NAVEX's own API has limits too. </w:t>
      </w:r>
      <w:r>
        <w:rPr>
          <w:i/>
          <w:iCs/>
        </w:rPr>
        <w:t xml:space="preserve">Mitigation: the server is built to throttle, cache, and retry politely — something a basic HTTP action cannot do well.</w:t>
      </w:r>
    </w:p>
    <w:p>
      <w:r>
        <w:br w:type="page"/>
      </w:r>
    </w:p>
    <w:p>
      <w:pPr>
        <w:pStyle w:val="Heading1"/>
      </w:pPr>
      <w:r>
        <w:t xml:space="preserve">5. Azure Billing Estimate (USD)</w:t>
      </w:r>
    </w:p>
    <w:p>
      <w:pPr>
        <w:spacing w:after="120" w:line="276"/>
      </w:pPr>
      <w:r>
        <w:t xml:space="preserve">The prototype is deployed in Azure (East US) using four resources, shown below. The figures are </w:t>
      </w:r>
      <w:r>
        <w:rPr>
          <w:b/>
          <w:bCs/>
        </w:rPr>
        <w:t xml:space="preserve">estimates based on public pay-as-you-go pricing</w:t>
      </w:r>
      <w:r>
        <w:t xml:space="preserve"> as of mid-2026, for a small internal prototype with light traffic. Actual cost depends on usage and can be confirmed against the Azure Cost Management bill.</w:t>
      </w:r>
    </w:p>
    <w:p>
      <w:pPr>
        <w:pStyle w:val="Heading2"/>
      </w:pPr>
      <w:r>
        <w:t xml:space="preserve">5.1 The deployed resources</w:t>
      </w:r>
    </w:p>
    <w:p>
      <w:pPr>
        <w:pStyle w:val="ListParagraph"/>
        <w:numPr>
          <w:ilvl w:val="0"/>
          <w:numId w:val="2"/>
        </w:numPr>
        <w:spacing w:after="60" w:line="268"/>
      </w:pPr>
      <w:r>
        <w:rPr>
          <w:b/>
          <w:bCs/>
        </w:rPr>
        <w:t xml:space="preserve">navex-mcp</w:t>
      </w:r>
      <w:r>
        <w:t xml:space="preserve"> — the MCP server itself, running as an Azure Container App.</w:t>
      </w:r>
    </w:p>
    <w:p>
      <w:pPr>
        <w:pStyle w:val="ListParagraph"/>
        <w:numPr>
          <w:ilvl w:val="0"/>
          <w:numId w:val="2"/>
        </w:numPr>
        <w:spacing w:after="60" w:line="268"/>
      </w:pPr>
      <w:r>
        <w:rPr>
          <w:b/>
          <w:bCs/>
        </w:rPr>
        <w:t xml:space="preserve">managedEnvironment-…</w:t>
      </w:r>
      <w:r>
        <w:t xml:space="preserve"> — the Container Apps Environment that hosts it (no separate charge under the Consumption plan; you pay for the app's usage).</w:t>
      </w:r>
    </w:p>
    <w:p>
      <w:pPr>
        <w:pStyle w:val="ListParagraph"/>
        <w:numPr>
          <w:ilvl w:val="0"/>
          <w:numId w:val="2"/>
        </w:numPr>
        <w:spacing w:after="60" w:line="268"/>
      </w:pPr>
      <w:r>
        <w:rPr>
          <w:b/>
          <w:bCs/>
        </w:rPr>
        <w:t xml:space="preserve">navexmcpacr</w:t>
      </w:r>
      <w:r>
        <w:t xml:space="preserve"> — an Azure Container Registry that stores the server's container image.</w:t>
      </w:r>
    </w:p>
    <w:p>
      <w:pPr>
        <w:pStyle w:val="ListParagraph"/>
        <w:numPr>
          <w:ilvl w:val="0"/>
          <w:numId w:val="2"/>
        </w:numPr>
        <w:spacing w:after="60" w:line="268"/>
      </w:pPr>
      <w:r>
        <w:rPr>
          <w:b/>
          <w:bCs/>
        </w:rPr>
        <w:t xml:space="preserve">workspace…</w:t>
      </w:r>
      <w:r>
        <w:t xml:space="preserve"> — a Log Analytics workspace that collects logs and monitoring data.</w:t>
      </w:r>
    </w:p>
    <w:p>
      <w:pPr>
        <w:pStyle w:val="Heading2"/>
      </w:pPr>
      <w:r>
        <w:t xml:space="preserve">5.2 Estimated monthly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280"/>
        <w:gridCol w:w="2280"/>
      </w:tblGrid>
      <w:tr>
        <w:tc>
          <w:tcPr>
            <w:tcW w:type="dxa" w:w="27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rPr>
              <w:t xml:space="preserve">Resource</w:t>
            </w:r>
          </w:p>
        </w:tc>
        <w:tc>
          <w:tcPr>
            <w:tcW w:type="dxa" w:w="21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rPr>
              <w:t xml:space="preserve">Pricing basis</w:t>
            </w:r>
          </w:p>
        </w:tc>
        <w:tc>
          <w:tcPr>
            <w:tcW w:type="dxa" w:w="22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jc w:val="center"/>
            </w:pPr>
            <w:r>
              <w:rPr>
                <w:b/>
                <w:bCs/>
              </w:rPr>
              <w:t xml:space="preserve">Low / month</w:t>
            </w:r>
          </w:p>
        </w:tc>
        <w:tc>
          <w:tcPr>
            <w:tcW w:type="dxa" w:w="22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jc w:val="center"/>
            </w:pPr>
            <w:r>
              <w:rPr>
                <w:b/>
                <w:bCs/>
              </w:rPr>
              <w:t xml:space="preserve">Expected / mo</w:t>
            </w:r>
          </w:p>
        </w:tc>
      </w:tr>
      <w:tr>
        <w:tc>
          <w:tcPr>
            <w:tcW w:type="dxa" w:w="270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Container App (navex-mcp)</w:t>
            </w:r>
          </w:p>
        </w:tc>
        <w:tc>
          <w:tcPr>
            <w:tcW w:type="dxa" w:w="210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Consumption: vCPU-sec + GiB-sec; free monthly grant</w:t>
            </w:r>
          </w:p>
        </w:tc>
        <w:tc>
          <w:tcPr>
            <w:tcW w:type="dxa" w:w="228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center"/>
            </w:pPr>
            <w:r>
              <w:rPr>
                <w:b w:val="false"/>
                <w:bCs w:val="false"/>
              </w:rPr>
              <w:t xml:space="preserve">$10</w:t>
            </w:r>
          </w:p>
        </w:tc>
        <w:tc>
          <w:tcPr>
            <w:tcW w:type="dxa" w:w="228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center"/>
            </w:pPr>
            <w:r>
              <w:rPr>
                <w:b w:val="false"/>
                <w:bCs w:val="false"/>
              </w:rPr>
              <w:t xml:space="preserve">$20</w:t>
            </w:r>
          </w:p>
        </w:tc>
      </w:tr>
      <w:tr>
        <w:tc>
          <w:tcPr>
            <w:tcW w:type="dxa" w:w="270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Container Apps Environment</w:t>
            </w:r>
          </w:p>
        </w:tc>
        <w:tc>
          <w:tcPr>
            <w:tcW w:type="dxa" w:w="210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No separate charge (Consumption)</w:t>
            </w:r>
          </w:p>
        </w:tc>
        <w:tc>
          <w:tcPr>
            <w:tcW w:type="dxa" w:w="228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center"/>
            </w:pPr>
            <w:r>
              <w:rPr>
                <w:b w:val="false"/>
                <w:bCs w:val="false"/>
              </w:rPr>
              <w:t xml:space="preserve">$0</w:t>
            </w:r>
          </w:p>
        </w:tc>
        <w:tc>
          <w:tcPr>
            <w:tcW w:type="dxa" w:w="228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center"/>
            </w:pPr>
            <w:r>
              <w:rPr>
                <w:b w:val="false"/>
                <w:bCs w:val="false"/>
              </w:rPr>
              <w:t xml:space="preserve">$0</w:t>
            </w:r>
          </w:p>
        </w:tc>
      </w:tr>
      <w:tr>
        <w:tc>
          <w:tcPr>
            <w:tcW w:type="dxa" w:w="270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Container Registry (Basic)</w:t>
            </w:r>
          </w:p>
        </w:tc>
        <w:tc>
          <w:tcPr>
            <w:tcW w:type="dxa" w:w="210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~$0.167 / day flat</w:t>
            </w:r>
          </w:p>
        </w:tc>
        <w:tc>
          <w:tcPr>
            <w:tcW w:type="dxa" w:w="228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center"/>
            </w:pPr>
            <w:r>
              <w:rPr>
                <w:b w:val="false"/>
                <w:bCs w:val="false"/>
              </w:rPr>
              <w:t xml:space="preserve">$5</w:t>
            </w:r>
          </w:p>
        </w:tc>
        <w:tc>
          <w:tcPr>
            <w:tcW w:type="dxa" w:w="228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center"/>
            </w:pPr>
            <w:r>
              <w:rPr>
                <w:b w:val="false"/>
                <w:bCs w:val="false"/>
              </w:rPr>
              <w:t xml:space="preserve">$5</w:t>
            </w:r>
          </w:p>
        </w:tc>
      </w:tr>
      <w:tr>
        <w:tc>
          <w:tcPr>
            <w:tcW w:type="dxa" w:w="270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Log Analytics workspace</w:t>
            </w:r>
          </w:p>
        </w:tc>
        <w:tc>
          <w:tcPr>
            <w:tcW w:type="dxa" w:w="210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~$2.76 / GB ingested (light volume)</w:t>
            </w:r>
          </w:p>
        </w:tc>
        <w:tc>
          <w:tcPr>
            <w:tcW w:type="dxa" w:w="228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center"/>
            </w:pPr>
            <w:r>
              <w:rPr>
                <w:b w:val="false"/>
                <w:bCs w:val="false"/>
              </w:rPr>
              <w:t xml:space="preserve">$3</w:t>
            </w:r>
          </w:p>
        </w:tc>
        <w:tc>
          <w:tcPr>
            <w:tcW w:type="dxa" w:w="228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center"/>
            </w:pPr>
            <w:r>
              <w:rPr>
                <w:b w:val="false"/>
                <w:bCs w:val="false"/>
              </w:rPr>
              <w:t xml:space="preserve">$8</w:t>
            </w:r>
          </w:p>
        </w:tc>
      </w:tr>
      <w:tr>
        <w:tc>
          <w:tcPr>
            <w:tcW w:type="dxa" w:w="2700"/>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tcPr>
          <w:p>
            <w:r>
              <w:rPr>
                <w:b/>
                <w:bCs/>
              </w:rPr>
              <w:t xml:space="preserve">Estimated total</w:t>
            </w:r>
          </w:p>
        </w:tc>
        <w:tc>
          <w:tcPr>
            <w:tcW w:type="dxa" w:w="2100"/>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tcPr>
          <w:p>
            <w:r>
              <w:t xml:space="preserve"/>
            </w:r>
          </w:p>
        </w:tc>
        <w:tc>
          <w:tcPr>
            <w:tcW w:type="dxa" w:w="2280"/>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tcPr>
          <w:p>
            <w:pPr>
              <w:jc w:val="center"/>
            </w:pPr>
            <w:r>
              <w:rPr>
                <w:b/>
                <w:bCs/>
              </w:rPr>
              <w:t xml:space="preserve">~$18</w:t>
            </w:r>
          </w:p>
        </w:tc>
        <w:tc>
          <w:tcPr>
            <w:tcW w:type="dxa" w:w="2280"/>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tcPr>
          <w:p>
            <w:pPr>
              <w:jc w:val="center"/>
            </w:pPr>
            <w:r>
              <w:rPr>
                <w:b/>
                <w:bCs/>
              </w:rPr>
              <w:t xml:space="preserve">~$33</w:t>
            </w:r>
          </w:p>
        </w:tc>
      </w:tr>
    </w:tbl>
    <w:p>
      <w:pPr>
        <w:spacing w:after="80"/>
      </w:pPr>
      <w:r>
        <w:t xml:space="preserve"/>
      </w:r>
    </w:p>
    <w:p>
      <w:pPr>
        <w:spacing w:after="120" w:line="276"/>
      </w:pPr>
      <w:r>
        <w:rPr>
          <w:b/>
          <w:bCs/>
        </w:rPr>
        <w:t xml:space="preserve">Planning figure: </w:t>
      </w:r>
      <w:r>
        <w:t xml:space="preserve">budget roughly </w:t>
      </w:r>
      <w:r>
        <w:rPr>
          <w:b/>
          <w:bCs/>
        </w:rPr>
        <w:t xml:space="preserve">US $20–55 per month</w:t>
      </w:r>
      <w:r>
        <w:t xml:space="preserve"> (about </w:t>
      </w:r>
      <w:r>
        <w:rPr>
          <w:b/>
          <w:bCs/>
        </w:rPr>
        <w:t xml:space="preserve">$240–660 per year</w:t>
      </w:r>
      <w:r>
        <w:t xml:space="preserve">) at prototype scale. A safe ceiling of ~$60–75/month covers heavier traffic or more verbose logging. Costs scale gradually with usage rather than hitting a wall, which is the opposite of the Power Automate cap problem.</w:t>
      </w:r>
    </w:p>
    <w:p>
      <w:pPr>
        <w:pStyle w:val="Heading2"/>
      </w:pPr>
      <w:r>
        <w:t xml:space="preserve">5.3 What this estimate excludes (transparency)</w:t>
      </w:r>
    </w:p>
    <w:p>
      <w:pPr>
        <w:pStyle w:val="ListParagraph"/>
        <w:numPr>
          <w:ilvl w:val="0"/>
          <w:numId w:val="2"/>
        </w:numPr>
        <w:spacing w:after="60" w:line="268"/>
      </w:pPr>
      <w:r>
        <w:t xml:space="preserve">Staff / engineering time to build, run, and maintain the server — usually the largest real cost.</w:t>
      </w:r>
    </w:p>
    <w:p>
      <w:pPr>
        <w:pStyle w:val="ListParagraph"/>
        <w:numPr>
          <w:ilvl w:val="0"/>
          <w:numId w:val="2"/>
        </w:numPr>
        <w:spacing w:after="60" w:line="268"/>
      </w:pPr>
      <w:r>
        <w:t xml:space="preserve">Any AI assistant / model usage fees, if analysts use a paid AI client to query the server.</w:t>
      </w:r>
    </w:p>
    <w:p>
      <w:pPr>
        <w:pStyle w:val="ListParagraph"/>
        <w:numPr>
          <w:ilvl w:val="0"/>
          <w:numId w:val="2"/>
        </w:numPr>
        <w:spacing w:after="60" w:line="268"/>
      </w:pPr>
      <w:r>
        <w:t xml:space="preserve">Enterprise security add-ons (e.g., Microsoft Defender for Cloud, Azure Key Vault transactions, private networking) if required by policy.</w:t>
      </w:r>
    </w:p>
    <w:p>
      <w:pPr>
        <w:pStyle w:val="ListParagraph"/>
        <w:numPr>
          <w:ilvl w:val="0"/>
          <w:numId w:val="2"/>
        </w:numPr>
        <w:spacing w:after="60" w:line="268"/>
      </w:pPr>
      <w:r>
        <w:t xml:space="preserve">Data egress and any future scale-up (more replicas, higher availability).</w:t>
      </w:r>
    </w:p>
    <w:p>
      <w:pPr>
        <w:pStyle w:val="ListParagraph"/>
        <w:numPr>
          <w:ilvl w:val="0"/>
          <w:numId w:val="2"/>
        </w:numPr>
        <w:spacing w:after="60" w:line="268"/>
      </w:pPr>
      <w:r>
        <w:t xml:space="preserve">Power Automate licence savings are </w:t>
      </w:r>
      <w:r>
        <w:rPr>
          <w:b/>
          <w:bCs/>
        </w:rPr>
        <w:t xml:space="preserve">not</w:t>
      </w:r>
      <w:r>
        <w:t xml:space="preserve"> netted here; if MCP lets us avoid buying capacity add-on packs, that is an additional saving to weigh.</w:t>
      </w:r>
    </w:p>
    <w:p>
      <w:pPr>
        <w:spacing w:after="120" w:line="276"/>
      </w:pPr>
      <w:r>
        <w:rPr>
          <w:i/>
          <w:iCs/>
          <w:color w:val="808080"/>
          <w:sz w:val="20"/>
          <w:szCs w:val="20"/>
        </w:rPr>
        <w:t xml:space="preserve">Estimates use Azure East US public pay-as-you-go rates; prices change and should be confirmed on the Azure pricing pages and against the actual bill.</w:t>
      </w:r>
    </w:p>
    <w:p>
      <w:r>
        <w:br w:type="page"/>
      </w:r>
    </w:p>
    <w:p>
      <w:pPr>
        <w:pStyle w:val="Heading1"/>
      </w:pPr>
      <w:r>
        <w:t xml:space="preserve">6. Security, Compliance &amp; Risk</w:t>
      </w:r>
    </w:p>
    <w:p>
      <w:pPr>
        <w:spacing w:after="120" w:line="276"/>
      </w:pPr>
      <w:r>
        <w:t xml:space="preserve">NAVEX is a GRC system, so security deserves special attention. The design follows a security-first approach:</w:t>
      </w:r>
    </w:p>
    <w:p>
      <w:pPr>
        <w:pStyle w:val="ListParagraph"/>
        <w:numPr>
          <w:ilvl w:val="0"/>
          <w:numId w:val="2"/>
        </w:numPr>
        <w:spacing w:after="60" w:line="268"/>
      </w:pPr>
      <w:r>
        <w:rPr>
          <w:b/>
          <w:bCs/>
        </w:rPr>
        <w:t xml:space="preserve">Credential isolation. </w:t>
      </w:r>
      <w:r>
        <w:t xml:space="preserve">NAVEX login secrets are stored as protected environment variables / in a secrets vault — never hard-coded and never returned to users.</w:t>
      </w:r>
    </w:p>
    <w:p>
      <w:pPr>
        <w:pStyle w:val="ListParagraph"/>
        <w:numPr>
          <w:ilvl w:val="0"/>
          <w:numId w:val="2"/>
        </w:numPr>
        <w:spacing w:after="60" w:line="268"/>
      </w:pPr>
      <w:r>
        <w:rPr>
          <w:b/>
          <w:bCs/>
        </w:rPr>
        <w:t xml:space="preserve">Session handling. </w:t>
      </w:r>
      <w:r>
        <w:t xml:space="preserve">The server captures NAVEX's session cookie internally and renews it automatically; the cookie is never exposed to the requester.</w:t>
      </w:r>
    </w:p>
    <w:p>
      <w:pPr>
        <w:pStyle w:val="ListParagraph"/>
        <w:numPr>
          <w:ilvl w:val="0"/>
          <w:numId w:val="2"/>
        </w:numPr>
        <w:spacing w:after="60" w:line="268"/>
      </w:pPr>
      <w:r>
        <w:rPr>
          <w:b/>
          <w:bCs/>
        </w:rPr>
        <w:t xml:space="preserve">Least privilege. </w:t>
      </w:r>
      <w:r>
        <w:t xml:space="preserve">Start read-only. Write, workflow, and user-admin actions are added deliberately, behind validation and approval.</w:t>
      </w:r>
    </w:p>
    <w:p>
      <w:pPr>
        <w:pStyle w:val="ListParagraph"/>
        <w:numPr>
          <w:ilvl w:val="0"/>
          <w:numId w:val="2"/>
        </w:numPr>
        <w:spacing w:after="60" w:line="268"/>
      </w:pPr>
      <w:r>
        <w:rPr>
          <w:b/>
          <w:bCs/>
        </w:rPr>
        <w:t xml:space="preserve">Audit logging. </w:t>
      </w:r>
      <w:r>
        <w:t xml:space="preserve">Every action is logged (who, what, when) for traceability — a natural fit for GRC requirements.</w:t>
      </w:r>
    </w:p>
    <w:p>
      <w:pPr>
        <w:pStyle w:val="ListParagraph"/>
        <w:numPr>
          <w:ilvl w:val="0"/>
          <w:numId w:val="2"/>
        </w:numPr>
        <w:spacing w:after="60" w:line="268"/>
      </w:pPr>
      <w:r>
        <w:rPr>
          <w:b/>
          <w:bCs/>
        </w:rPr>
        <w:t xml:space="preserve">Error sanitisation. </w:t>
      </w:r>
      <w:r>
        <w:t xml:space="preserve">Internal errors and stack traces are never leaked back to the caller.</w:t>
      </w:r>
    </w:p>
    <w:p>
      <w:pPr>
        <w:pStyle w:val="ListParagraph"/>
        <w:numPr>
          <w:ilvl w:val="0"/>
          <w:numId w:val="2"/>
        </w:numPr>
        <w:spacing w:after="60" w:line="268"/>
      </w:pPr>
      <w:r>
        <w:rPr>
          <w:b/>
          <w:bCs/>
        </w:rPr>
        <w:t xml:space="preserve">Input / output validation. </w:t>
      </w:r>
      <w:r>
        <w:t xml:space="preserve">Requests and responses are validated, reducing the chance of malformed or malicious calls.</w:t>
      </w:r>
    </w:p>
    <w:p>
      <w:pPr>
        <w:pStyle w:val="ListParagraph"/>
        <w:numPr>
          <w:ilvl w:val="0"/>
          <w:numId w:val="2"/>
        </w:numPr>
        <w:spacing w:after="60" w:line="268"/>
      </w:pPr>
      <w:r>
        <w:rPr>
          <w:b/>
          <w:bCs/>
        </w:rPr>
        <w:t xml:space="preserve">AI-specific guardrails. </w:t>
      </w:r>
      <w:r>
        <w:t xml:space="preserve">Because an AI assistant may sit in front of the server, we constrain which tools it can call, require confirmation for changes, and consider prompt-injection risks before enabling write access.</w:t>
      </w:r>
    </w:p>
    <w:p>
      <w:pPr>
        <w:spacing w:after="120" w:line="276"/>
      </w:pPr>
      <w:r>
        <w:rPr>
          <w:b/>
          <w:bCs/>
        </w:rPr>
        <w:t xml:space="preserve">Honest risk statement: </w:t>
      </w:r>
      <w:r>
        <w:t xml:space="preserve">connecting an AI assistant to a GRC platform introduces new risk that does not exist with Power Automate alone. We treat this seriously — the mitigation is a phased rollout that begins read-only and earns trust before any automated changes are allowed.</w:t>
      </w:r>
    </w:p>
    <w:p>
      <w:r>
        <w:br w:type="page"/>
      </w:r>
    </w:p>
    <w:p>
      <w:pPr>
        <w:pStyle w:val="Heading1"/>
      </w:pPr>
      <w:r>
        <w:t xml:space="preserve">7. Recommendation &amp; Next Steps</w:t>
      </w:r>
    </w:p>
    <w:p>
      <w:pPr>
        <w:spacing w:after="120" w:line="276"/>
      </w:pPr>
      <w:r>
        <w:rPr>
          <w:b/>
          <w:bCs/>
        </w:rPr>
        <w:t xml:space="preserve">Recommendation: </w:t>
      </w:r>
      <w:r>
        <w:t xml:space="preserve">adopt the MCP server through a phased pilot, run alongside Power Automate rather than replacing everything at once.</w:t>
      </w:r>
    </w:p>
    <w:p>
      <w:pPr>
        <w:pStyle w:val="Heading2"/>
      </w:pPr>
      <w:r>
        <w:t xml:space="preserve">7.1 Suggested phases</w:t>
      </w:r>
    </w:p>
    <w:p>
      <w:pPr>
        <w:pStyle w:val="ListParagraph"/>
        <w:numPr>
          <w:ilvl w:val="0"/>
          <w:numId w:val="3"/>
        </w:numPr>
        <w:spacing w:after="60" w:line="268"/>
      </w:pPr>
      <w:r>
        <w:rPr>
          <w:b/>
          <w:bCs/>
        </w:rPr>
        <w:t xml:space="preserve">Phase 1 — Stabilise (read-only). </w:t>
      </w:r>
      <w:r>
        <w:t xml:space="preserve">Point the failing, high-volume reporting flows at the MCP server first. This relieves the daily-cap pressure immediately with the lowest risk.</w:t>
      </w:r>
    </w:p>
    <w:p>
      <w:pPr>
        <w:pStyle w:val="ListParagraph"/>
        <w:numPr>
          <w:ilvl w:val="0"/>
          <w:numId w:val="3"/>
        </w:numPr>
        <w:spacing w:after="60" w:line="268"/>
      </w:pPr>
      <w:r>
        <w:rPr>
          <w:b/>
          <w:bCs/>
        </w:rPr>
        <w:t xml:space="preserve">Phase 2 — Controlled writes. </w:t>
      </w:r>
      <w:r>
        <w:t xml:space="preserve">Add record updates (risk / TPRA) behind validation, approval, and audit logging.</w:t>
      </w:r>
    </w:p>
    <w:p>
      <w:pPr>
        <w:pStyle w:val="ListParagraph"/>
        <w:numPr>
          <w:ilvl w:val="0"/>
          <w:numId w:val="3"/>
        </w:numPr>
        <w:spacing w:after="60" w:line="268"/>
      </w:pPr>
      <w:r>
        <w:rPr>
          <w:b/>
          <w:bCs/>
        </w:rPr>
        <w:t xml:space="preserve">Phase 3 — Analyst self-service. </w:t>
      </w:r>
      <w:r>
        <w:t xml:space="preserve">Enable approved AI-assistant access for natural-language queries, scoped and monitored.</w:t>
      </w:r>
    </w:p>
    <w:p>
      <w:pPr>
        <w:pStyle w:val="ListParagraph"/>
        <w:numPr>
          <w:ilvl w:val="0"/>
          <w:numId w:val="3"/>
        </w:numPr>
        <w:spacing w:after="60" w:line="268"/>
      </w:pPr>
      <w:r>
        <w:rPr>
          <w:b/>
          <w:bCs/>
        </w:rPr>
        <w:t xml:space="preserve">Phase 4 — Decide the hybrid line. </w:t>
      </w:r>
      <w:r>
        <w:t xml:space="preserve">Keep in Power Automate only what genuinely belongs there; retire the brittle, cap-heavy flows.</w:t>
      </w:r>
    </w:p>
    <w:p>
      <w:pPr>
        <w:pStyle w:val="Heading2"/>
      </w:pPr>
      <w:r>
        <w:t xml:space="preserve">7.2 What we are asking for</w:t>
      </w:r>
    </w:p>
    <w:p>
      <w:pPr>
        <w:pStyle w:val="ListParagraph"/>
        <w:numPr>
          <w:ilvl w:val="0"/>
          <w:numId w:val="2"/>
        </w:numPr>
        <w:spacing w:after="60" w:line="268"/>
      </w:pPr>
      <w:r>
        <w:rPr>
          <w:b/>
          <w:bCs/>
        </w:rPr>
        <w:t xml:space="preserve">Manager / Core team: </w:t>
      </w:r>
      <w:r>
        <w:t xml:space="preserve">endorsement to run a time-boxed pilot and a named owner for the server.</w:t>
      </w:r>
    </w:p>
    <w:p>
      <w:pPr>
        <w:pStyle w:val="ListParagraph"/>
        <w:numPr>
          <w:ilvl w:val="0"/>
          <w:numId w:val="2"/>
        </w:numPr>
        <w:spacing w:after="60" w:line="268"/>
      </w:pPr>
      <w:r>
        <w:rPr>
          <w:b/>
          <w:bCs/>
        </w:rPr>
        <w:t xml:space="preserve">Finance: </w:t>
      </w:r>
      <w:r>
        <w:t xml:space="preserve">sign-off on an Azure budget of approximately $60–75/month as a safe ceiling during the pilot.</w:t>
      </w:r>
    </w:p>
    <w:p>
      <w:pPr>
        <w:pStyle w:val="ListParagraph"/>
        <w:numPr>
          <w:ilvl w:val="0"/>
          <w:numId w:val="2"/>
        </w:numPr>
        <w:spacing w:after="60" w:line="268"/>
      </w:pPr>
      <w:r>
        <w:rPr>
          <w:b/>
          <w:bCs/>
        </w:rPr>
        <w:t xml:space="preserve">Security: </w:t>
      </w:r>
      <w:r>
        <w:t xml:space="preserve">agreement on the read-only-first guardrail model before any write access is enabled.</w:t>
      </w:r>
    </w:p>
    <w:p>
      <w:pPr>
        <w:pStyle w:val="Heading2"/>
      </w:pPr>
      <w:r>
        <w:t xml:space="preserve">7.3 Decision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rPr>
              <w:t xml:space="preserve">If we do nothing</w:t>
            </w:r>
          </w:p>
        </w:tc>
        <w:tc>
          <w:tcPr>
            <w:tcW w:type="dxa" w:w="46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rPr>
              <w:t xml:space="preserve">If we adopt the MCP server</w:t>
            </w:r>
          </w:p>
        </w:tc>
      </w:tr>
      <w:tr>
        <w:tc>
          <w:tcPr>
            <w:tcW w:type="dxa" w:w="4680"/>
            <w:tcBorders>
              <w:top w:val="single" w:color="BFBFBF" w:sz="1"/>
              <w:left w:val="single" w:color="BFBFBF" w:sz="1"/>
              <w:bottom w:val="single" w:color="BFBFBF" w:sz="1"/>
              <w:right w:val="single" w:color="BFBFBF" w:sz="1"/>
            </w:tcBorders>
            <w:shd w:fill="FBE4E4" w:val="clear"/>
            <w:tcMar>
              <w:top w:type="dxa" w:w="70"/>
              <w:left w:type="dxa" w:w="110"/>
              <w:bottom w:type="dxa" w:w="70"/>
              <w:right w:type="dxa" w:w="110"/>
            </w:tcMar>
          </w:tcPr>
          <w:p>
            <w:r>
              <w:t xml:space="preserve">Flows keep hitting daily caps and failing</w:t>
            </w:r>
          </w:p>
        </w:tc>
        <w:tc>
          <w:tcPr>
            <w:tcW w:type="dxa" w:w="468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tcPr>
          <w:p>
            <w:r>
              <w:t xml:space="preserve">Cap-driven failures removed for migrated work</w:t>
            </w:r>
          </w:p>
        </w:tc>
      </w:tr>
      <w:tr>
        <w:tc>
          <w:tcPr>
            <w:tcW w:type="dxa" w:w="4680"/>
            <w:tcBorders>
              <w:top w:val="single" w:color="BFBFBF" w:sz="1"/>
              <w:left w:val="single" w:color="BFBFBF" w:sz="1"/>
              <w:bottom w:val="single" w:color="BFBFBF" w:sz="1"/>
              <w:right w:val="single" w:color="BFBFBF" w:sz="1"/>
            </w:tcBorders>
            <w:shd w:fill="FBE4E4" w:val="clear"/>
            <w:tcMar>
              <w:top w:type="dxa" w:w="70"/>
              <w:left w:type="dxa" w:w="110"/>
              <w:bottom w:type="dxa" w:w="70"/>
              <w:right w:type="dxa" w:w="110"/>
            </w:tcMar>
          </w:tcPr>
          <w:p>
            <w:r>
              <w:t xml:space="preserve">Ongoing manual firefighting</w:t>
            </w:r>
          </w:p>
        </w:tc>
        <w:tc>
          <w:tcPr>
            <w:tcW w:type="dxa" w:w="468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tcPr>
          <w:p>
            <w:r>
              <w:t xml:space="preserve">Reliable, retried, logged automation</w:t>
            </w:r>
          </w:p>
        </w:tc>
      </w:tr>
      <w:tr>
        <w:tc>
          <w:tcPr>
            <w:tcW w:type="dxa" w:w="4680"/>
            <w:tcBorders>
              <w:top w:val="single" w:color="BFBFBF" w:sz="1"/>
              <w:left w:val="single" w:color="BFBFBF" w:sz="1"/>
              <w:bottom w:val="single" w:color="BFBFBF" w:sz="1"/>
              <w:right w:val="single" w:color="BFBFBF" w:sz="1"/>
            </w:tcBorders>
            <w:shd w:fill="FBE4E4" w:val="clear"/>
            <w:tcMar>
              <w:top w:type="dxa" w:w="70"/>
              <w:left w:type="dxa" w:w="110"/>
              <w:bottom w:type="dxa" w:w="70"/>
              <w:right w:type="dxa" w:w="110"/>
            </w:tcMar>
          </w:tcPr>
          <w:p>
            <w:r>
              <w:t xml:space="preserve">Pay for capacity add-on packs to cope</w:t>
            </w:r>
          </w:p>
        </w:tc>
        <w:tc>
          <w:tcPr>
            <w:tcW w:type="dxa" w:w="468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tcPr>
          <w:p>
            <w:r>
              <w:t xml:space="preserve">Predictable ~$20–55/month infra cost</w:t>
            </w:r>
          </w:p>
        </w:tc>
      </w:tr>
      <w:tr>
        <w:tc>
          <w:tcPr>
            <w:tcW w:type="dxa" w:w="4680"/>
            <w:tcBorders>
              <w:top w:val="single" w:color="BFBFBF" w:sz="1"/>
              <w:left w:val="single" w:color="BFBFBF" w:sz="1"/>
              <w:bottom w:val="single" w:color="BFBFBF" w:sz="1"/>
              <w:right w:val="single" w:color="BFBFBF" w:sz="1"/>
            </w:tcBorders>
            <w:shd w:fill="FBE4E4" w:val="clear"/>
            <w:tcMar>
              <w:top w:type="dxa" w:w="70"/>
              <w:left w:type="dxa" w:w="110"/>
              <w:bottom w:type="dxa" w:w="70"/>
              <w:right w:type="dxa" w:w="110"/>
            </w:tcMar>
          </w:tcPr>
          <w:p>
            <w:r>
              <w:t xml:space="preserve">No natural-language access to NAVEX</w:t>
            </w:r>
          </w:p>
        </w:tc>
        <w:tc>
          <w:tcPr>
            <w:tcW w:type="dxa" w:w="468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tcPr>
          <w:p>
            <w:r>
              <w:t xml:space="preserve">Analyst self-service via AI assistant</w:t>
            </w:r>
          </w:p>
        </w:tc>
      </w:tr>
    </w:tbl>
    <w:p>
      <w:r>
        <w:br w:type="page"/>
      </w:r>
    </w:p>
    <w:p>
      <w:pPr>
        <w:pStyle w:val="Heading1"/>
      </w:pPr>
      <w:r>
        <w:t xml:space="preserve">Appendix A. Glossary</w:t>
      </w:r>
    </w:p>
    <w:p>
      <w:pPr>
        <w:pStyle w:val="ListParagraph"/>
        <w:numPr>
          <w:ilvl w:val="0"/>
          <w:numId w:val="2"/>
        </w:numPr>
        <w:spacing w:after="60" w:line="268"/>
      </w:pPr>
      <w:r>
        <w:rPr>
          <w:b/>
          <w:bCs/>
        </w:rPr>
        <w:t xml:space="preserve">MCP (Model Context Protocol): </w:t>
      </w:r>
      <w:r>
        <w:t xml:space="preserve">an open standard for connecting tools and AI assistants to external systems in a controlled way.</w:t>
      </w:r>
    </w:p>
    <w:p>
      <w:pPr>
        <w:pStyle w:val="ListParagraph"/>
        <w:numPr>
          <w:ilvl w:val="0"/>
          <w:numId w:val="2"/>
        </w:numPr>
        <w:spacing w:after="60" w:line="268"/>
      </w:pPr>
      <w:r>
        <w:rPr>
          <w:b/>
          <w:bCs/>
        </w:rPr>
        <w:t xml:space="preserve">MCP server: </w:t>
      </w:r>
      <w:r>
        <w:t xml:space="preserve">the program we run that exposes NAVEX as safe, named tools.</w:t>
      </w:r>
    </w:p>
    <w:p>
      <w:pPr>
        <w:pStyle w:val="ListParagraph"/>
        <w:numPr>
          <w:ilvl w:val="0"/>
          <w:numId w:val="2"/>
        </w:numPr>
        <w:spacing w:after="60" w:line="268"/>
      </w:pPr>
      <w:r>
        <w:rPr>
          <w:b/>
          <w:bCs/>
        </w:rPr>
        <w:t xml:space="preserve">GRC: </w:t>
      </w:r>
      <w:r>
        <w:t xml:space="preserve">Governance, Risk, and Compliance — the category NAVEX belongs to.</w:t>
      </w:r>
    </w:p>
    <w:p>
      <w:pPr>
        <w:pStyle w:val="ListParagraph"/>
        <w:numPr>
          <w:ilvl w:val="0"/>
          <w:numId w:val="2"/>
        </w:numPr>
        <w:spacing w:after="60" w:line="268"/>
      </w:pPr>
      <w:r>
        <w:rPr>
          <w:b/>
          <w:bCs/>
        </w:rPr>
        <w:t xml:space="preserve">TPRA: </w:t>
      </w:r>
      <w:r>
        <w:t xml:space="preserve">Third-Party Risk Assessment records managed in NAVEX.</w:t>
      </w:r>
    </w:p>
    <w:p>
      <w:pPr>
        <w:pStyle w:val="ListParagraph"/>
        <w:numPr>
          <w:ilvl w:val="0"/>
          <w:numId w:val="2"/>
        </w:numPr>
        <w:spacing w:after="60" w:line="268"/>
      </w:pPr>
      <w:r>
        <w:rPr>
          <w:b/>
          <w:bCs/>
        </w:rPr>
        <w:t xml:space="preserve">REST API: </w:t>
      </w:r>
      <w:r>
        <w:t xml:space="preserve">the standard web interface NAVEX provides for software to read and write data.</w:t>
      </w:r>
    </w:p>
    <w:p>
      <w:pPr>
        <w:pStyle w:val="ListParagraph"/>
        <w:numPr>
          <w:ilvl w:val="0"/>
          <w:numId w:val="2"/>
        </w:numPr>
        <w:spacing w:after="60" w:line="268"/>
      </w:pPr>
      <w:r>
        <w:rPr>
          <w:b/>
          <w:bCs/>
        </w:rPr>
        <w:t xml:space="preserve">Container / Container App: </w:t>
      </w:r>
      <w:r>
        <w:t xml:space="preserve">a packaged unit of software; Azure Container Apps runs it without us managing servers.</w:t>
      </w:r>
    </w:p>
    <w:p>
      <w:pPr>
        <w:pStyle w:val="ListParagraph"/>
        <w:numPr>
          <w:ilvl w:val="0"/>
          <w:numId w:val="2"/>
        </w:numPr>
        <w:spacing w:after="60" w:line="268"/>
      </w:pPr>
      <w:r>
        <w:rPr>
          <w:b/>
          <w:bCs/>
        </w:rPr>
        <w:t xml:space="preserve">Throttling: </w:t>
      </w:r>
      <w:r>
        <w:t xml:space="preserve">when a platform deliberately slows or blocks requests for exceeding a limit.</w:t>
      </w:r>
    </w:p>
    <w:p>
      <w:pPr>
        <w:pStyle w:val="Heading1"/>
      </w:pPr>
      <w:r>
        <w:t xml:space="preserve">Appendix B. Key Assumptions</w:t>
      </w:r>
    </w:p>
    <w:p>
      <w:pPr>
        <w:pStyle w:val="ListParagraph"/>
        <w:numPr>
          <w:ilvl w:val="0"/>
          <w:numId w:val="2"/>
        </w:numPr>
        <w:spacing w:after="60" w:line="268"/>
      </w:pPr>
      <w:r>
        <w:t xml:space="preserve">Prototype runs as a single small Container App with light internal traffic (estimate assumes ~0.5 vCPU / 1 GiB).</w:t>
      </w:r>
    </w:p>
    <w:p>
      <w:pPr>
        <w:pStyle w:val="ListParagraph"/>
        <w:numPr>
          <w:ilvl w:val="0"/>
          <w:numId w:val="2"/>
        </w:numPr>
        <w:spacing w:after="60" w:line="268"/>
      </w:pPr>
      <w:r>
        <w:t xml:space="preserve">Container Registry is on the Basic tier; Log Analytics ingests a few GB per month.</w:t>
      </w:r>
    </w:p>
    <w:p>
      <w:pPr>
        <w:pStyle w:val="ListParagraph"/>
        <w:numPr>
          <w:ilvl w:val="0"/>
          <w:numId w:val="2"/>
        </w:numPr>
        <w:spacing w:after="60" w:line="268"/>
      </w:pPr>
      <w:r>
        <w:t xml:space="preserve">Power Automate request figures are illustrative; exact counts depend on each flow's design and licence.</w:t>
      </w:r>
    </w:p>
    <w:p>
      <w:pPr>
        <w:pStyle w:val="ListParagraph"/>
        <w:numPr>
          <w:ilvl w:val="0"/>
          <w:numId w:val="2"/>
        </w:numPr>
        <w:spacing w:after="60" w:line="268"/>
      </w:pPr>
      <w:r>
        <w:t xml:space="preserve">Current licence details and exact NAVEX user/record counts were not available at writing and should be confirmed.</w:t>
      </w:r>
    </w:p>
    <w:p>
      <w:pPr>
        <w:pStyle w:val="Heading1"/>
      </w:pPr>
      <w:r>
        <w:t xml:space="preserve">Appendix C. Sources</w:t>
      </w:r>
    </w:p>
    <w:p>
      <w:pPr>
        <w:pStyle w:val="ListParagraph"/>
        <w:numPr>
          <w:ilvl w:val="0"/>
          <w:numId w:val="2"/>
        </w:numPr>
        <w:spacing w:after="60" w:line="268"/>
      </w:pPr>
      <w:r>
        <w:t xml:space="preserve">Azure Container Apps pricing — azure.microsoft.com/en-us/pricing/details/container-apps/</w:t>
      </w:r>
    </w:p>
    <w:p>
      <w:pPr>
        <w:pStyle w:val="ListParagraph"/>
        <w:numPr>
          <w:ilvl w:val="0"/>
          <w:numId w:val="2"/>
        </w:numPr>
        <w:spacing w:after="60" w:line="268"/>
      </w:pPr>
      <w:r>
        <w:t xml:space="preserve">Azure Container Registry pricing — azure.microsoft.com/en-us/pricing/details/container-registry/</w:t>
      </w:r>
    </w:p>
    <w:p>
      <w:pPr>
        <w:pStyle w:val="ListParagraph"/>
        <w:numPr>
          <w:ilvl w:val="0"/>
          <w:numId w:val="2"/>
        </w:numPr>
        <w:spacing w:after="60" w:line="268"/>
      </w:pPr>
      <w:r>
        <w:t xml:space="preserve">Azure Monitor / Log Analytics pricing — azure.microsoft.com/en-us/pricing/details/monitor/</w:t>
      </w:r>
    </w:p>
    <w:p>
      <w:pPr>
        <w:pStyle w:val="ListParagraph"/>
        <w:numPr>
          <w:ilvl w:val="0"/>
          <w:numId w:val="2"/>
        </w:numPr>
        <w:spacing w:after="60" w:line="268"/>
      </w:pPr>
      <w:r>
        <w:t xml:space="preserve">Power Platform request limits and allocations — learn.microsoft.com/en-us/power-platform/admin/api-request-limits-allocations</w:t>
      </w:r>
    </w:p>
    <w:p>
      <w:pPr>
        <w:pStyle w:val="ListParagraph"/>
        <w:numPr>
          <w:ilvl w:val="0"/>
          <w:numId w:val="2"/>
        </w:numPr>
        <w:spacing w:after="60" w:line="268"/>
      </w:pPr>
      <w:r>
        <w:t xml:space="preserve">Power Automate platform limits and throttling — learn.microsoft.com/en-us/power-automate/guidance/coding-guidelines/understand-limits</w:t>
      </w:r>
    </w:p>
    <w:p>
      <w:pPr>
        <w:pStyle w:val="ListParagraph"/>
        <w:numPr>
          <w:ilvl w:val="0"/>
          <w:numId w:val="2"/>
        </w:numPr>
        <w:spacing w:after="60" w:line="268"/>
      </w:pPr>
      <w:r>
        <w:t xml:space="preserve">Model Context Protocol — modelcontextprotocol.io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Confidential — Internal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MCP Server for NAVEX IRM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 Server for NAVEX IRM</dc:title>
  <dc:creator>Cybersecurity / GRC Team</dc:creator>
  <cp:lastModifiedBy>Un-named</cp:lastModifiedBy>
  <cp:revision>1</cp:revision>
  <dcterms:created xsi:type="dcterms:W3CDTF">2026-06-18T10:48:24.929Z</dcterms:created>
  <dcterms:modified xsi:type="dcterms:W3CDTF">2026-06-18T10:48:24.929Z</dcterms:modified>
</cp:coreProperties>
</file>

<file path=docProps/custom.xml><?xml version="1.0" encoding="utf-8"?>
<Properties xmlns="http://schemas.openxmlformats.org/officeDocument/2006/custom-properties" xmlns:vt="http://schemas.openxmlformats.org/officeDocument/2006/docPropsVTypes"/>
</file>