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EF4444"/>
          <w:sz w:val="32"/>
        </w:rPr>
        <w:t>PRIVATE EXTENDED WARRANTY &amp; LIFE-HEALTH COVER (HIGH RISK / ABUSIVE EXCLUSIONS)</w:t>
      </w:r>
    </w:p>
    <w:p>
      <w:r>
        <w:rPr>
          <w:i/>
          <w:sz w:val="20"/>
        </w:rPr>
        <w:t>Risk Rating: 🔴 High Risk (~90%) | NYAYA AI 3.0 Test Document</w:t>
        <w:br/>
        <w:t>Contains unilateral claim rejection rights, total non-refundable premium, exclusion of critical conditions, and waiver of Insurance Ombudsman.</w:t>
      </w:r>
    </w:p>
    <w:p>
      <w: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sz w:val="21"/>
        </w:rPr>
        <w:t>CERTIFICATE OF INSURANCE &amp; CONTRACT – GLOBAL ASSURE ULTRA (POLICY NO: GAU/2026/9901)</w:t>
      </w:r>
    </w:p>
    <w:p>
      <w:r>
        <w:rPr>
          <w:rFonts w:ascii="Arial" w:hAnsi="Arial"/>
          <w:sz w:val="21"/>
        </w:rPr>
        <w:t>UNDERWRITER: Horizon Global Reassurance Consortium Ltd. | INSURED: Applicant Signatory</w:t>
      </w:r>
    </w:p>
    <w:p/>
    <w:p>
      <w:r>
        <w:rPr>
          <w:rFonts w:ascii="Arial" w:hAnsi="Arial"/>
          <w:b/>
          <w:sz w:val="22"/>
        </w:rPr>
        <w:t>1. UNILATERAL CLAIM REPUDIATION &amp; PROOF OF LOSS:</w:t>
      </w:r>
    </w:p>
    <w:p>
      <w:r>
        <w:rPr>
          <w:rFonts w:ascii="Arial" w:hAnsi="Arial"/>
          <w:sz w:val="21"/>
        </w:rPr>
        <w:t>The Company reserves the sole, unchallengeable discretion to deny and reject any claim without assigning detailed statutory justification if internal medical assessors deem the treatment non-essential.</w:t>
      </w:r>
    </w:p>
    <w:p/>
    <w:p>
      <w:r>
        <w:rPr>
          <w:rFonts w:ascii="Arial" w:hAnsi="Arial"/>
          <w:b/>
          <w:sz w:val="22"/>
        </w:rPr>
        <w:t>2. 100% NON-REFUNDABLE PREMIUMS &amp; NO FREE LOOK:</w:t>
      </w:r>
    </w:p>
    <w:p>
      <w:r>
        <w:rPr>
          <w:rFonts w:ascii="Arial" w:hAnsi="Arial"/>
          <w:sz w:val="21"/>
        </w:rPr>
        <w:t>All paid premiums, processing charges, and policy fees are 100% non-refundable under all circumstances from the exact hour of policy issuance. Free-look cancellation is expressly excluded.</w:t>
      </w:r>
    </w:p>
    <w:p/>
    <w:p>
      <w:r>
        <w:rPr>
          <w:rFonts w:ascii="Arial" w:hAnsi="Arial"/>
          <w:b/>
          <w:sz w:val="22"/>
        </w:rPr>
        <w:t>3. CRITICAL ILLNESS PERMANENT EXCLUSIONS:</w:t>
      </w:r>
    </w:p>
    <w:p>
      <w:r>
        <w:rPr>
          <w:rFonts w:ascii="Arial" w:hAnsi="Arial"/>
          <w:sz w:val="21"/>
        </w:rPr>
        <w:t>Heart conditions, oncological treatments, neurological conditions, respiratory disorders, and sudden lifestyle illnesses are permanently excluded from claim eligibility.</w:t>
      </w:r>
    </w:p>
    <w:p/>
    <w:p>
      <w:r>
        <w:rPr>
          <w:rFonts w:ascii="Arial" w:hAnsi="Arial"/>
          <w:b/>
          <w:sz w:val="22"/>
        </w:rPr>
        <w:t>4. WAIVER OF STATUTORY OMBUDSMAN &amp; CONSUMER REMEDIES:</w:t>
      </w:r>
    </w:p>
    <w:p>
      <w:r>
        <w:rPr>
          <w:rFonts w:ascii="Arial" w:hAnsi="Arial"/>
          <w:sz w:val="21"/>
        </w:rPr>
        <w:t>The Insured explicitly agrees to forfeit the right to approach the Insurance Ombudsman or Consumer Disputes Redressal Commission.</w:t>
      </w:r>
    </w:p>
    <w:p/>
    <w:p>
      <w:r>
        <w:rPr>
          <w:rFonts w:ascii="Arial" w:hAnsi="Arial"/>
          <w:b/>
          <w:sz w:val="22"/>
        </w:rPr>
        <w:t>5. SOLE PRIVATE ARBITRATION IN MAURITIUS / OVERSEAS:</w:t>
      </w:r>
    </w:p>
    <w:p>
      <w:r>
        <w:rPr>
          <w:rFonts w:ascii="Arial" w:hAnsi="Arial"/>
          <w:sz w:val="21"/>
        </w:rPr>
        <w:t>Any claim dispute shall be referred exclusively to private commercial arbitration conducted in Singapore or Mauritius at the shared expense of the claimant, barring Indian court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