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F59E0B"/>
          <w:sz w:val="32"/>
        </w:rPr>
        <w:t>STANDARD HEALTH INSURANCE POLICY (MODERATE CO-PAY &amp; SUB-LIMITS)</w:t>
      </w:r>
    </w:p>
    <w:p>
      <w:r>
        <w:rPr>
          <w:i/>
          <w:sz w:val="20"/>
        </w:rPr>
        <w:t>Risk Rating: 🟡 Medium Risk (~48%) | NYAYA AI 3.0 Test Document</w:t>
        <w:br/>
        <w:t>Contains mandatory 20% co-payment, ICU sub-limits, and extended waiting periods.</w:t>
      </w:r>
    </w:p>
    <w:p>
      <w:r>
        <w:t>――――――――――――――――――――――――――――――――――――――――――――――――――</w:t>
      </w:r>
    </w:p>
    <w:p>
      <w:r>
        <w:rPr>
          <w:rFonts w:ascii="Arial" w:hAnsi="Arial"/>
          <w:sz w:val="21"/>
        </w:rPr>
        <w:t>POLICY SCHEDULE – PRUDENT HEALTH PROTECT (POLICY NO: PHP/2026/5541)</w:t>
      </w:r>
    </w:p>
    <w:p>
      <w:r>
        <w:rPr>
          <w:rFonts w:ascii="Arial" w:hAnsi="Arial"/>
          <w:sz w:val="21"/>
        </w:rPr>
        <w:t>INSURER: Starline General Insurance Ltd. | INSURED: Ms. Deepa Nambiar | SUM INSURED: Rs. 5,00,000</w:t>
      </w:r>
    </w:p>
    <w:p/>
    <w:p>
      <w:r>
        <w:rPr>
          <w:rFonts w:ascii="Arial" w:hAnsi="Arial"/>
          <w:b/>
          <w:sz w:val="22"/>
        </w:rPr>
        <w:t>1. CO-PAYMENT CLAUSE:</w:t>
      </w:r>
    </w:p>
    <w:p>
      <w:r>
        <w:rPr>
          <w:rFonts w:ascii="Arial" w:hAnsi="Arial"/>
          <w:sz w:val="21"/>
        </w:rPr>
        <w:t>A mandatory 20% co-payment shall apply to all claims incurred in non-network hospitals and for insured persons above 50 years of age.</w:t>
      </w:r>
    </w:p>
    <w:p/>
    <w:p>
      <w:r>
        <w:rPr>
          <w:rFonts w:ascii="Arial" w:hAnsi="Arial"/>
          <w:b/>
          <w:sz w:val="22"/>
        </w:rPr>
        <w:t>2. ROOM RENT &amp; ICU SUB-LIMITS:</w:t>
      </w:r>
    </w:p>
    <w:p>
      <w:r>
        <w:rPr>
          <w:rFonts w:ascii="Arial" w:hAnsi="Arial"/>
          <w:sz w:val="21"/>
        </w:rPr>
        <w:t>Room rent is strictly capped at 1% of the Sum Insured (Rs. 5,000/day) and ICU charges at 2% (Rs. 10,000/day). If the Insured opts for a room with higher tariff, proportionate deductions will be applied across all medical bills.</w:t>
      </w:r>
    </w:p>
    <w:p/>
    <w:p>
      <w:r>
        <w:rPr>
          <w:rFonts w:ascii="Arial" w:hAnsi="Arial"/>
          <w:b/>
          <w:sz w:val="22"/>
        </w:rPr>
        <w:t>3. EXTENDED PRE-EXISTING AILMENT WAITING PERIOD:</w:t>
      </w:r>
    </w:p>
    <w:p>
      <w:r>
        <w:rPr>
          <w:rFonts w:ascii="Arial" w:hAnsi="Arial"/>
          <w:sz w:val="21"/>
        </w:rPr>
        <w:t>Pre-existing illnesses (hypertension, diabetes, joint disorders) shall be subject to a strict 48-month continuous waiting period before coverage commences.</w:t>
      </w:r>
    </w:p>
    <w:p/>
    <w:p>
      <w:r>
        <w:rPr>
          <w:rFonts w:ascii="Arial" w:hAnsi="Arial"/>
          <w:b/>
          <w:sz w:val="22"/>
        </w:rPr>
        <w:t>4. CANCELLATION REFUND GRID:</w:t>
      </w:r>
    </w:p>
    <w:p>
      <w:r>
        <w:rPr>
          <w:rFonts w:ascii="Arial" w:hAnsi="Arial"/>
          <w:sz w:val="21"/>
        </w:rPr>
        <w:t>Upon policy cancellation after the 30th day, refund of premium shall be retained on short-period scale: 50% retained up to 3 months, and 100% premium retained after 6 months.</w:t>
      </w:r>
    </w:p>
    <w:p/>
    <w:p>
      <w:r>
        <w:rPr>
          <w:rFonts w:ascii="Arial" w:hAnsi="Arial"/>
          <w:b/>
          <w:sz w:val="22"/>
        </w:rPr>
        <w:t>5. DISPUTE RESOLUTION:</w:t>
      </w:r>
    </w:p>
    <w:p>
      <w:r>
        <w:rPr>
          <w:rFonts w:ascii="Arial" w:hAnsi="Arial"/>
          <w:sz w:val="21"/>
        </w:rPr>
        <w:t>Disputes shall be handled through the internal Grievance Officer and subsequent Civil Courts.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