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0B981"/>
          <w:sz w:val="32"/>
        </w:rPr>
        <w:t>COMPREHENSIVE HEALTH &amp; LIFE INSURANCE POLICY (IRDAI COMPLIANT)</w:t>
      </w:r>
    </w:p>
    <w:p>
      <w:r>
        <w:rPr>
          <w:i/>
          <w:sz w:val="20"/>
        </w:rPr>
        <w:t>Risk Rating: 🟢 Safe (Low Risk ~12%) | NYAYA AI 3.0 Test Document</w:t>
        <w:br/>
        <w:t>Standard IRDAI consumer-friendly policy with clear claim terms, 15-day free-look period, and Ombudsman protection.</w:t>
      </w:r>
    </w:p>
    <w:p>
      <w:r>
        <w:t>――――――――――――――――――――――――――――――――――――――――――――――――――</w:t>
      </w:r>
    </w:p>
    <w:p>
      <w:r>
        <w:rPr>
          <w:rFonts w:ascii="Arial" w:hAnsi="Arial"/>
          <w:sz w:val="21"/>
        </w:rPr>
        <w:t>POLICY SCHEDULE &amp; TERMS – NYAYA SURAKSHA HEALTH SHIELD (POLICY NO: IRDAI/2026/HL/8821)</w:t>
      </w:r>
    </w:p>
    <w:p>
      <w:r>
        <w:rPr>
          <w:rFonts w:ascii="Arial" w:hAnsi="Arial"/>
          <w:sz w:val="21"/>
        </w:rPr>
        <w:t>INSURER: National Health &amp; General Insurance Co. Ltd. | INSURED: Mr. Anand Sundaram | SUM INSURED: Rs. 10,00,000</w:t>
      </w:r>
    </w:p>
    <w:p/>
    <w:p>
      <w:r>
        <w:rPr>
          <w:rFonts w:ascii="Arial" w:hAnsi="Arial"/>
          <w:b/>
          <w:sz w:val="22"/>
        </w:rPr>
        <w:t>1. COVERAGE &amp; BENEFITS:</w:t>
      </w:r>
    </w:p>
    <w:p>
      <w:r>
        <w:rPr>
          <w:rFonts w:ascii="Arial" w:hAnsi="Arial"/>
          <w:sz w:val="21"/>
        </w:rPr>
        <w:t>This policy provides comprehensive coverage for hospitalization, day-care procedures, pre-hospitalization (60 days), and post-hospitalization (90 days) medical expenses without room-rent capping.</w:t>
      </w:r>
    </w:p>
    <w:p/>
    <w:p>
      <w:r>
        <w:rPr>
          <w:rFonts w:ascii="Arial" w:hAnsi="Arial"/>
          <w:b/>
          <w:sz w:val="22"/>
        </w:rPr>
        <w:t>2. FREE LOOK PERIOD &amp; CANCELLATION REFUND:</w:t>
      </w:r>
    </w:p>
    <w:p>
      <w:r>
        <w:rPr>
          <w:rFonts w:ascii="Arial" w:hAnsi="Arial"/>
          <w:sz w:val="21"/>
        </w:rPr>
        <w:t>The Insured is entitled to a 15-day Free Look Period from the date of receipt of this policy. If cancelled within this period, the full premium shall be refunded after deducting only medical examination and stamp duty charges.</w:t>
      </w:r>
    </w:p>
    <w:p/>
    <w:p>
      <w:r>
        <w:rPr>
          <w:rFonts w:ascii="Arial" w:hAnsi="Arial"/>
          <w:b/>
          <w:sz w:val="22"/>
        </w:rPr>
        <w:t>3. GRACE PERIOD FOR PREMIUM:</w:t>
      </w:r>
    </w:p>
    <w:p>
      <w:r>
        <w:rPr>
          <w:rFonts w:ascii="Arial" w:hAnsi="Arial"/>
          <w:sz w:val="21"/>
        </w:rPr>
        <w:t>A statutory grace period of 30 days is provided for yearly renewal premium payment. Coverage continuity benefits shall not be forfeited during the grace period.</w:t>
      </w:r>
    </w:p>
    <w:p/>
    <w:p>
      <w:r>
        <w:rPr>
          <w:rFonts w:ascii="Arial" w:hAnsi="Arial"/>
          <w:b/>
          <w:sz w:val="22"/>
        </w:rPr>
        <w:t>4. PRE-EXISTING DISEASE WAITING PERIOD:</w:t>
      </w:r>
    </w:p>
    <w:p>
      <w:r>
        <w:rPr>
          <w:rFonts w:ascii="Arial" w:hAnsi="Arial"/>
          <w:sz w:val="21"/>
        </w:rPr>
        <w:t>Pre-existing ailments declared at inception shall be covered after a standard waiting period of 24 months of continuous policy renewals.</w:t>
      </w:r>
    </w:p>
    <w:p/>
    <w:p>
      <w:r>
        <w:rPr>
          <w:rFonts w:ascii="Arial" w:hAnsi="Arial"/>
          <w:b/>
          <w:sz w:val="22"/>
        </w:rPr>
        <w:t>5. GRIEVANCE REDRESSAL &amp; INSURANCE OMBUDSMAN:</w:t>
      </w:r>
    </w:p>
    <w:p>
      <w:r>
        <w:rPr>
          <w:rFonts w:ascii="Arial" w:hAnsi="Arial"/>
          <w:sz w:val="21"/>
        </w:rPr>
        <w:t>In case of claim repudiation or dispute, the Insured has the statutory right to escalate complaints to the Insurance Ombudsman under Insurance Ombudsman Rules 2017 or file before the District Consumer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