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EF4444"/>
          <w:sz w:val="32"/>
        </w:rPr>
        <w:t>INSTANT DIGITAL MICRO-LOAN CONTRACT (HIGH RISK / PREDATORY TERMS)</w:t>
      </w:r>
    </w:p>
    <w:p>
      <w:r>
        <w:rPr>
          <w:i/>
          <w:sz w:val="20"/>
        </w:rPr>
        <w:t>Risk Rating: 🔴 High Risk (~95%) | NYAYA AI 3.0 Test Document</w:t>
        <w:br/>
        <w:t>Contains 36% compounding interest, irrevocable salary debit, 5% exit fees, unlimited indemnity, and private arbitration.</w:t>
      </w:r>
    </w:p>
    <w:p>
      <w:r>
        <w:t>――――――――――――――――――――――――――――――――――――――――――――――――――</w:t>
      </w:r>
    </w:p>
    <w:p>
      <w:r>
        <w:rPr>
          <w:rFonts w:ascii="Arial" w:hAnsi="Arial"/>
          <w:sz w:val="21"/>
        </w:rPr>
        <w:t>DIGITAL CREDIT LINE &amp; UNSECURED LOAN CONTRACT (REF NO: DCL/2026/1099)</w:t>
      </w:r>
    </w:p>
    <w:p>
      <w:r>
        <w:rPr>
          <w:rFonts w:ascii="Arial" w:hAnsi="Arial"/>
          <w:sz w:val="21"/>
        </w:rPr>
        <w:t>LENDER: TurboCash Capital Online FinTech Pvt. Ltd. | BORROWER: Digital Applicant / Signatory</w:t>
      </w:r>
    </w:p>
    <w:p/>
    <w:p>
      <w:r>
        <w:rPr>
          <w:rFonts w:ascii="Arial" w:hAnsi="Arial"/>
          <w:b/>
          <w:sz w:val="22"/>
        </w:rPr>
        <w:t>1. COMPOUNDING PENAL INTEREST &amp; HIDDEN PLATFORM CHARGES:</w:t>
      </w:r>
    </w:p>
    <w:p>
      <w:r>
        <w:rPr>
          <w:rFonts w:ascii="Arial" w:hAnsi="Arial"/>
          <w:sz w:val="21"/>
        </w:rPr>
        <w:t>Loan Principal: Rs. 1,00,000. Interest Rate: 28% APR. The Lender reserves the right to deduct unannounced monthly technology fees and loan servicing charges. Any single missed EMI results in an immediate compounding penalty of 36% per annum calculated on a daily compounding basis.</w:t>
      </w:r>
    </w:p>
    <w:p/>
    <w:p>
      <w:r>
        <w:rPr>
          <w:rFonts w:ascii="Arial" w:hAnsi="Arial"/>
          <w:b/>
          <w:sz w:val="22"/>
        </w:rPr>
        <w:t>2. IRREVOCABLE POWER OF ATTORNEY &amp; SALARY LIEN:</w:t>
      </w:r>
    </w:p>
    <w:p>
      <w:r>
        <w:rPr>
          <w:rFonts w:ascii="Arial" w:hAnsi="Arial"/>
          <w:sz w:val="21"/>
        </w:rPr>
        <w:t>The Borrower hereby executes an irrevocable Power of Attorney granting the Lender direct authority to deduct payments directly from the Borrower's bank account, employer payroll, and secondary deposit accounts without prior intimation.</w:t>
      </w:r>
    </w:p>
    <w:p/>
    <w:p>
      <w:r>
        <w:rPr>
          <w:rFonts w:ascii="Arial" w:hAnsi="Arial"/>
          <w:b/>
          <w:sz w:val="22"/>
        </w:rPr>
        <w:t>3. PREDATORY FORECLOSURE &amp; TERMINATION PENALTY:</w:t>
      </w:r>
    </w:p>
    <w:p>
      <w:r>
        <w:rPr>
          <w:rFonts w:ascii="Arial" w:hAnsi="Arial"/>
          <w:sz w:val="21"/>
        </w:rPr>
        <w:t>Prepayment or early closure incurs a mandatory 5% exit penalty on the gross original loan sanctioned amount, plus forfeiture of all unadjusted interest.</w:t>
      </w:r>
    </w:p>
    <w:p/>
    <w:p>
      <w:r>
        <w:rPr>
          <w:rFonts w:ascii="Arial" w:hAnsi="Arial"/>
          <w:b/>
          <w:sz w:val="22"/>
        </w:rPr>
        <w:t>4. UNILATERAL TERMS MODIFICATION &amp; INDEMNITY:</w:t>
      </w:r>
    </w:p>
    <w:p>
      <w:r>
        <w:rPr>
          <w:rFonts w:ascii="Arial" w:hAnsi="Arial"/>
          <w:sz w:val="21"/>
        </w:rPr>
        <w:t>The Lender reserves the absolute right to alter the interest rate, tenure, and fee schedule at its sole discretion. The Borrower agrees to indemnify and hold harmless the Lender against all claims and damages.</w:t>
      </w:r>
    </w:p>
    <w:p/>
    <w:p>
      <w:r>
        <w:rPr>
          <w:rFonts w:ascii="Arial" w:hAnsi="Arial"/>
          <w:b/>
          <w:sz w:val="22"/>
        </w:rPr>
        <w:t>5. WAIVER OF COURT JURISDICTION &amp; SOLE ARBITRATION:</w:t>
      </w:r>
    </w:p>
    <w:p>
      <w:r>
        <w:rPr>
          <w:rFonts w:ascii="Arial" w:hAnsi="Arial"/>
          <w:sz w:val="21"/>
        </w:rPr>
        <w:t>The Borrower expressly agrees to waive all statutory rights to file proceedings in the Consumer Forum or Civil Court. All disputes shall be resolved exclusively via binding private arbitration conducted solely by an arbitrator selected by the Lender in Mumbai.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