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F59E0B"/>
          <w:sz w:val="32"/>
        </w:rPr>
        <w:t>PERSONAL &amp; VEHICLE LOAN AGREEMENT (MODERATE CHARGES &amp; SPREAD RESET)</w:t>
      </w:r>
    </w:p>
    <w:p>
      <w:r>
        <w:rPr>
          <w:i/>
          <w:sz w:val="20"/>
        </w:rPr>
        <w:t>Risk Rating: 🟡 Medium Risk (~52%) | NYAYA AI 3.0 Test Document</w:t>
        <w:br/>
        <w:t>Contains 2.5% processing fee, 24% annual penal interest, and lender spread reset rights.</w:t>
      </w:r>
    </w:p>
    <w:p>
      <w:r>
        <w:t>――――――――――――――――――――――――――――――――――――――――――――――――――</w:t>
      </w:r>
    </w:p>
    <w:p>
      <w:r>
        <w:rPr>
          <w:rFonts w:ascii="Arial" w:hAnsi="Arial"/>
          <w:sz w:val="21"/>
        </w:rPr>
        <w:t>RETAIL TERM LOAN CONTRACT (CONTRACT NO: RL/2026/7723)</w:t>
      </w:r>
    </w:p>
    <w:p>
      <w:r>
        <w:rPr>
          <w:rFonts w:ascii="Arial" w:hAnsi="Arial"/>
          <w:sz w:val="21"/>
        </w:rPr>
        <w:t>BETWEEN: QuickCredit Commercial Finance Ltd. (NBFC) AND Mr. Karthikeyan Murugan (Borrower).</w:t>
      </w:r>
    </w:p>
    <w:p/>
    <w:p>
      <w:r>
        <w:rPr>
          <w:rFonts w:ascii="Arial" w:hAnsi="Arial"/>
          <w:b/>
          <w:sz w:val="22"/>
        </w:rPr>
        <w:t>1. LOAN AMOUNT &amp; MARGIN SPREAD:</w:t>
      </w:r>
    </w:p>
    <w:p>
      <w:r>
        <w:rPr>
          <w:rFonts w:ascii="Arial" w:hAnsi="Arial"/>
          <w:sz w:val="21"/>
        </w:rPr>
        <w:t>Sanctioned principal: Rs. 6,00,000 at 12.5% interest per annum for a 36-month tenure. The Lender reserves the right to reset the benchmark spread annually based on market liquidity.</w:t>
      </w:r>
    </w:p>
    <w:p/>
    <w:p>
      <w:r>
        <w:rPr>
          <w:rFonts w:ascii="Arial" w:hAnsi="Arial"/>
          <w:b/>
          <w:sz w:val="22"/>
        </w:rPr>
        <w:t>2. PROCESSING &amp; ADMINISTRATIVE LEVIES:</w:t>
      </w:r>
    </w:p>
    <w:p>
      <w:r>
        <w:rPr>
          <w:rFonts w:ascii="Arial" w:hAnsi="Arial"/>
          <w:sz w:val="21"/>
        </w:rPr>
        <w:t>Upfront processing deduction of 2.5% (Rs. 15,000) + documentation fee of Rs. 3,500 shall be deducted directly from the disbursal sum.</w:t>
      </w:r>
    </w:p>
    <w:p/>
    <w:p>
      <w:r>
        <w:rPr>
          <w:rFonts w:ascii="Arial" w:hAnsi="Arial"/>
          <w:b/>
          <w:sz w:val="22"/>
        </w:rPr>
        <w:t>3. LATE EMI PENAL CHARGES:</w:t>
      </w:r>
    </w:p>
    <w:p>
      <w:r>
        <w:rPr>
          <w:rFonts w:ascii="Arial" w:hAnsi="Arial"/>
          <w:sz w:val="21"/>
        </w:rPr>
        <w:t>Overdue installments will incur a penal interest of 24% per annum (2% per month) plus bounce charges of Rs. 750 per dishonored NACH mandate.</w:t>
      </w:r>
    </w:p>
    <w:p/>
    <w:p>
      <w:r>
        <w:rPr>
          <w:rFonts w:ascii="Arial" w:hAnsi="Arial"/>
          <w:b/>
          <w:sz w:val="22"/>
        </w:rPr>
        <w:t>4. PRE-CLOSURE CHARGES:</w:t>
      </w:r>
    </w:p>
    <w:p>
      <w:r>
        <w:rPr>
          <w:rFonts w:ascii="Arial" w:hAnsi="Arial"/>
          <w:sz w:val="21"/>
        </w:rPr>
        <w:t>Foreclosure of the loan within 12 months is subject to a 3% pre-closure fee on the outstanding principal balance.</w:t>
      </w:r>
    </w:p>
    <w:p/>
    <w:p>
      <w:r>
        <w:rPr>
          <w:rFonts w:ascii="Arial" w:hAnsi="Arial"/>
          <w:b/>
          <w:sz w:val="22"/>
        </w:rPr>
        <w:t>5. JURISDICTION:</w:t>
      </w:r>
    </w:p>
    <w:p>
      <w:r>
        <w:rPr>
          <w:rFonts w:ascii="Arial" w:hAnsi="Arial"/>
          <w:sz w:val="21"/>
        </w:rPr>
        <w:t>Governed by the laws of India with jurisdiction in the competent courts of Coimbatore, Tamil Nadu.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