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0B981"/>
          <w:sz w:val="32"/>
        </w:rPr>
        <w:t>HOME LOAN AGREEMENT (FAIR &amp; RBI COMPLIANT)</w:t>
      </w:r>
    </w:p>
    <w:p>
      <w:r>
        <w:rPr>
          <w:i/>
          <w:sz w:val="20"/>
        </w:rPr>
        <w:t>Risk Rating: 🟢 Safe (Low Risk ~15%) | NYAYA AI 3.0 Test Document</w:t>
        <w:br/>
        <w:t>Fully compliant with Reserve Bank of India (RBI) Fair Practices Code, zero foreclosure penalty on floating rates.</w:t>
      </w:r>
    </w:p>
    <w:p>
      <w:r>
        <w:t>――――――――――――――――――――――――――――――――――――――――――――――――――</w:t>
      </w:r>
    </w:p>
    <w:p>
      <w:r>
        <w:rPr>
          <w:rFonts w:ascii="Arial" w:hAnsi="Arial"/>
          <w:sz w:val="21"/>
        </w:rPr>
        <w:t>HOUSING FINANCE &amp; LOAN AGREEMENT (LOAN ACC: HL/2026/4401)</w:t>
      </w:r>
    </w:p>
    <w:p>
      <w:r>
        <w:rPr>
          <w:rFonts w:ascii="Arial" w:hAnsi="Arial"/>
          <w:sz w:val="21"/>
        </w:rPr>
        <w:t>BETWEEN: State Housing Finance Bank Ltd. (the 'Lender') AND Mr. Rajesh Kanna &amp; Mrs. Shanthi Kanna (the 'Borrower').</w:t>
      </w:r>
    </w:p>
    <w:p/>
    <w:p>
      <w:r>
        <w:rPr>
          <w:rFonts w:ascii="Arial" w:hAnsi="Arial"/>
          <w:b/>
          <w:sz w:val="22"/>
        </w:rPr>
        <w:t>1. SANCTIONED LOAN AMOUNT &amp; INTEREST RATE:</w:t>
      </w:r>
    </w:p>
    <w:p>
      <w:r>
        <w:rPr>
          <w:rFonts w:ascii="Arial" w:hAnsi="Arial"/>
          <w:sz w:val="21"/>
        </w:rPr>
        <w:t>The Lender sanctions a Home Loan of Rs. 45,00,000 (Rupees Forty-Five Lakhs only) at an external benchmark linked floating interest rate of 8.40% per annum (EBLR + 0.90%). The repayment schedule is fixed for 240 equal monthly installments (EMI) of Rs. 38,765.</w:t>
      </w:r>
    </w:p>
    <w:p/>
    <w:p>
      <w:r>
        <w:rPr>
          <w:rFonts w:ascii="Arial" w:hAnsi="Arial"/>
          <w:b/>
          <w:sz w:val="22"/>
        </w:rPr>
        <w:t>2. ZERO FORECLOSURE / PREPAYMENT CHARGES:</w:t>
      </w:r>
    </w:p>
    <w:p>
      <w:r>
        <w:rPr>
          <w:rFonts w:ascii="Arial" w:hAnsi="Arial"/>
          <w:sz w:val="21"/>
        </w:rPr>
        <w:t>In strict compliance with RBI circulars, NO foreclosure fees, prepayment penalties, or hidden exit charges shall be levied on partial or full prepayment of the floating-rate home loan.</w:t>
      </w:r>
    </w:p>
    <w:p/>
    <w:p>
      <w:r>
        <w:rPr>
          <w:rFonts w:ascii="Arial" w:hAnsi="Arial"/>
          <w:b/>
          <w:sz w:val="22"/>
        </w:rPr>
        <w:t>3. TRANSPARENT FEE STRUCTURE:</w:t>
      </w:r>
    </w:p>
    <w:p>
      <w:r>
        <w:rPr>
          <w:rFonts w:ascii="Arial" w:hAnsi="Arial"/>
          <w:sz w:val="21"/>
        </w:rPr>
        <w:t>A one-time administrative processing fee of Rs. 10,000 + GST has been charged upfront. No additional unnotified annual inspection fees or ledger fees will be deducted.</w:t>
      </w:r>
    </w:p>
    <w:p/>
    <w:p>
      <w:r>
        <w:rPr>
          <w:rFonts w:ascii="Arial" w:hAnsi="Arial"/>
          <w:b/>
          <w:sz w:val="22"/>
        </w:rPr>
        <w:t>4. DEFAULT &amp; FAIR NOTICE PROCEDURE:</w:t>
      </w:r>
    </w:p>
    <w:p>
      <w:r>
        <w:rPr>
          <w:rFonts w:ascii="Arial" w:hAnsi="Arial"/>
          <w:sz w:val="21"/>
        </w:rPr>
        <w:t>In case of payment delay, penal interest is capped at 2% per annum on the overdue amount only. The Lender shall issue a 60-day statutory notice before initiating any SARFAESI recovery proceedings.</w:t>
      </w:r>
    </w:p>
    <w:p/>
    <w:p>
      <w:r>
        <w:rPr>
          <w:rFonts w:ascii="Arial" w:hAnsi="Arial"/>
          <w:b/>
          <w:sz w:val="22"/>
        </w:rPr>
        <w:t>5. JURISDICTION &amp; GRIEVANCE REDRESSAL:</w:t>
      </w:r>
    </w:p>
    <w:p>
      <w:r>
        <w:rPr>
          <w:rFonts w:ascii="Arial" w:hAnsi="Arial"/>
          <w:sz w:val="21"/>
        </w:rPr>
        <w:t>Borrowers may escalate unresolved grievances to the RBI Banking Ombudsman. Disputes remain subject to the Civil Courts in Chennai.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