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EF4444"/>
          <w:sz w:val="32"/>
        </w:rPr>
        <w:t>COMMERCIAL &amp; RESIDENTIAL LEASE CONTRACT (HIGH RISK / TRAP CLAUSES)</w:t>
      </w:r>
    </w:p>
    <w:p>
      <w:r>
        <w:rPr>
          <w:i/>
          <w:sz w:val="20"/>
        </w:rPr>
        <w:t>Risk Rating: 🔴 High Risk (~85%) | NYAYA AI 3.0 Test Document</w:t>
        <w:br/>
        <w:t>Contains unconscionable lock-in penalties, hidden charges, compounding daily interest, and waiver of legal rights.</w:t>
      </w:r>
    </w:p>
    <w:p>
      <w:r>
        <w:t>――――――――――――――――――――――――――――――――――――――――――――――――――</w:t>
      </w:r>
    </w:p>
    <w:p>
      <w:r>
        <w:rPr>
          <w:rFonts w:ascii="Arial" w:hAnsi="Arial"/>
          <w:sz w:val="21"/>
        </w:rPr>
        <w:t>THIS BINDING LEASE &amp; SERVICES CONTRACT is entered into on August 20, 2026 at Chennai.</w:t>
      </w:r>
    </w:p>
    <w:p>
      <w:r>
        <w:rPr>
          <w:rFonts w:ascii="Arial" w:hAnsi="Arial"/>
          <w:sz w:val="21"/>
        </w:rPr>
        <w:t>BY AND BETWEEN: Apex Realty Assets Management Pvt. Ltd. (the 'Company') AND the Signatory/Tenant.</w:t>
      </w:r>
    </w:p>
    <w:p/>
    <w:p>
      <w:r>
        <w:rPr>
          <w:rFonts w:ascii="Arial" w:hAnsi="Arial"/>
          <w:b/>
          <w:sz w:val="22"/>
        </w:rPr>
        <w:t>1. FEES, HIDDEN CHARGES &amp; COMPOUNDING PENALTIES:</w:t>
      </w:r>
    </w:p>
    <w:p>
      <w:r>
        <w:rPr>
          <w:rFonts w:ascii="Arial" w:hAnsi="Arial"/>
          <w:sz w:val="21"/>
        </w:rPr>
        <w:t>The monthly occupancy fee is Rs. 35,000. The Company reserves the absolute unilateral right to levy hidden charges, maintenance fees, and administrative charges without prior notification. Delayed payments beyond 24 hours incur an immediate compounding penalty of 10% per day on the total outstanding balance.</w:t>
      </w:r>
    </w:p>
    <w:p/>
    <w:p>
      <w:r>
        <w:rPr>
          <w:rFonts w:ascii="Arial" w:hAnsi="Arial"/>
          <w:b/>
          <w:sz w:val="22"/>
        </w:rPr>
        <w:t>2. LOCK-IN PERIOD &amp; TOTAL DEPOSIT FORFEITURE:</w:t>
      </w:r>
    </w:p>
    <w:p>
      <w:r>
        <w:rPr>
          <w:rFonts w:ascii="Arial" w:hAnsi="Arial"/>
          <w:sz w:val="21"/>
        </w:rPr>
        <w:t>A mandatory lock-in period of 24 months applies. In the event of early termination, the entire security deposit of Rs. 2,00,000 shall be fully non-refundable, and the Tenant shall remain liable to pay the full rent for the remainder of the 24-month term.</w:t>
      </w:r>
    </w:p>
    <w:p/>
    <w:p>
      <w:r>
        <w:rPr>
          <w:rFonts w:ascii="Arial" w:hAnsi="Arial"/>
          <w:b/>
          <w:sz w:val="22"/>
        </w:rPr>
        <w:t>3. AUTOMATIC RENEWAL &amp; UNILATERAL RENT HIKE:</w:t>
      </w:r>
    </w:p>
    <w:p>
      <w:r>
        <w:rPr>
          <w:rFonts w:ascii="Arial" w:hAnsi="Arial"/>
          <w:sz w:val="21"/>
        </w:rPr>
        <w:t>This contract will automatically renew for subsequent 3-year terms with an automatic 20% annual rent increase unless cancelled by registered post 180 days prior.</w:t>
      </w:r>
    </w:p>
    <w:p/>
    <w:p>
      <w:r>
        <w:rPr>
          <w:rFonts w:ascii="Arial" w:hAnsi="Arial"/>
          <w:b/>
          <w:sz w:val="22"/>
        </w:rPr>
        <w:t>4. INDEMNITY &amp; WAIVER OF STATUTORY RIGHTS:</w:t>
      </w:r>
    </w:p>
    <w:p>
      <w:r>
        <w:rPr>
          <w:rFonts w:ascii="Arial" w:hAnsi="Arial"/>
          <w:sz w:val="21"/>
        </w:rPr>
        <w:t>The Tenant agrees to indemnify and hold harmless the Company against all liabilities and damages. The Tenant explicitly agrees to waive statutory rights to approach the Rent Court or Consumer Forum.</w:t>
      </w:r>
    </w:p>
    <w:p/>
    <w:p>
      <w:r>
        <w:rPr>
          <w:rFonts w:ascii="Arial" w:hAnsi="Arial"/>
          <w:b/>
          <w:sz w:val="22"/>
        </w:rPr>
        <w:t>5. BINDING ARBITRATION:</w:t>
      </w:r>
    </w:p>
    <w:p>
      <w:r>
        <w:rPr>
          <w:rFonts w:ascii="Arial" w:hAnsi="Arial"/>
          <w:sz w:val="21"/>
        </w:rPr>
        <w:t>All disputes shall be settled exclusively by sole binding arbitration appointed unilaterally by the Company at New Delhi, and civil court jurisdiction is explicitly barred.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