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0B981"/>
          <w:sz w:val="32"/>
        </w:rPr>
        <w:t>STANDARD RESIDENTIAL LEASE AGREEMENT (FAIR &amp; SAFE)</w:t>
      </w:r>
    </w:p>
    <w:p>
      <w:r>
        <w:rPr>
          <w:i/>
          <w:sz w:val="20"/>
        </w:rPr>
        <w:t>Risk Rating: 🟢 Safe (Low Risk ~10%) | NYAYA AI 3.0 Test Document</w:t>
        <w:br/>
        <w:t>Compliant with Tamil Nadu Regulation of Rights and Responsibilities of Landlords and Tenants Act 2017.</w:t>
      </w:r>
    </w:p>
    <w:p>
      <w:r>
        <w:t>――――――――――――――――――――――――――――――――――――――――――――――――――</w:t>
      </w:r>
    </w:p>
    <w:p>
      <w:r>
        <w:rPr>
          <w:rFonts w:ascii="Arial" w:hAnsi="Arial"/>
          <w:sz w:val="21"/>
        </w:rPr>
        <w:t>THIS RESIDENTIAL LEASE AGREEMENT is executed on this 1st day of September, 2026 at Chennai, Tamil Nadu.</w:t>
      </w:r>
    </w:p>
    <w:p>
      <w:r>
        <w:rPr>
          <w:rFonts w:ascii="Arial" w:hAnsi="Arial"/>
          <w:sz w:val="21"/>
        </w:rPr>
        <w:t>BETWEEN: Mr. S. Raghavan (hereinafter referred to as the 'Lessor/Owner') AND Mr. K. Vijay (hereinafter referred to as the 'Lessee/Tenant').</w:t>
      </w:r>
    </w:p>
    <w:p/>
    <w:p>
      <w:r>
        <w:rPr>
          <w:rFonts w:ascii="Arial" w:hAnsi="Arial"/>
          <w:b/>
          <w:sz w:val="22"/>
        </w:rPr>
        <w:t>1. LEASE TERM &amp; RENT:</w:t>
      </w:r>
    </w:p>
    <w:p>
      <w:r>
        <w:rPr>
          <w:rFonts w:ascii="Arial" w:hAnsi="Arial"/>
          <w:sz w:val="21"/>
        </w:rPr>
        <w:t>The lease shall be valid for a tenure of 11 months commencing from September 1, 2026. The agreed monthly rent is Rs. 20,000 (Twenty Thousand Rupees only), payable on or before the 5th of each calendar month. Any annual revision of rent shall not exceed 5% upon mutual written agreement.</w:t>
      </w:r>
    </w:p>
    <w:p/>
    <w:p>
      <w:r>
        <w:rPr>
          <w:rFonts w:ascii="Arial" w:hAnsi="Arial"/>
          <w:b/>
          <w:sz w:val="22"/>
        </w:rPr>
        <w:t>2. REFUNDABLE SECURITY DEPOSIT:</w:t>
      </w:r>
    </w:p>
    <w:p>
      <w:r>
        <w:rPr>
          <w:rFonts w:ascii="Arial" w:hAnsi="Arial"/>
          <w:sz w:val="21"/>
        </w:rPr>
        <w:t>The Lessee has deposited a refundable security deposit of Rs. 60,000 (equivalent to 3 months' rent). The entire security deposit shall be refunded in full within 15 days of vacation of premises, subject only to actual unpaid utility bills and physical structural damage.</w:t>
      </w:r>
    </w:p>
    <w:p/>
    <w:p>
      <w:r>
        <w:rPr>
          <w:rFonts w:ascii="Arial" w:hAnsi="Arial"/>
          <w:b/>
          <w:sz w:val="22"/>
        </w:rPr>
        <w:t>3. MAINTENANCE &amp; STRUCTURAL REPAIRS:</w:t>
      </w:r>
    </w:p>
    <w:p>
      <w:r>
        <w:rPr>
          <w:rFonts w:ascii="Arial" w:hAnsi="Arial"/>
          <w:sz w:val="21"/>
        </w:rPr>
        <w:t>The Lessor shall remain strictly responsible for major structural maintenance, waterproofing, and external repairs. The Lessee shall bear regular electricity and domestic water consumption charges.</w:t>
      </w:r>
    </w:p>
    <w:p/>
    <w:p>
      <w:r>
        <w:rPr>
          <w:rFonts w:ascii="Arial" w:hAnsi="Arial"/>
          <w:b/>
          <w:sz w:val="22"/>
        </w:rPr>
        <w:t>4. TERMINATION &amp; NOTICE PERIOD:</w:t>
      </w:r>
    </w:p>
    <w:p>
      <w:r>
        <w:rPr>
          <w:rFonts w:ascii="Arial" w:hAnsi="Arial"/>
          <w:sz w:val="21"/>
        </w:rPr>
        <w:t>Either party may terminate this lease by serving a 30-day prior written notice. No unilateral termination penalties or arbitrary forfeitures shall apply.</w:t>
      </w:r>
    </w:p>
    <w:p/>
    <w:p>
      <w:r>
        <w:rPr>
          <w:rFonts w:ascii="Arial" w:hAnsi="Arial"/>
          <w:b/>
          <w:sz w:val="22"/>
        </w:rPr>
        <w:t>5. DISPUTE RESOLUTION:</w:t>
      </w:r>
    </w:p>
    <w:p>
      <w:r>
        <w:rPr>
          <w:rFonts w:ascii="Arial" w:hAnsi="Arial"/>
          <w:sz w:val="21"/>
        </w:rPr>
        <w:t>All disputes shall be subject to the jurisdiction of the Rent Court / Rent Tribunal established under the Tamil Nadu Tenancy Act 2017 in Chennai.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