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2"/>
        </w:rPr>
        <w:t>Project Mercury: Architecture &amp; Engineering Guidelines</w:t>
      </w:r>
    </w:p>
    <w:p>
      <w:r>
        <w:t>1. Coding Standards: All Java services must target Java 17 or higher and follow Clean Code conventions. Unit test coverage must exceed 80%.</w:t>
      </w:r>
    </w:p>
    <w:p>
      <w:r>
        <w:t>2. Deployment Pipeline: Deployments occur automatically via GitHub Actions upon merging into the release branch. Production releases are scheduled every Tuesday at 14:00 UTC.</w:t>
      </w:r>
    </w:p>
    <w:p>
      <w:r>
        <w:t>3. Security: All database credentials must be fetched from HashiCorp Vault. Hardcoding secrets in source files is strictly prohibited.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2026-09-09T11:21:05Z</dcterms:created>
  <dc:creator>Apache POI</dc:creator>
</cp:coreProperties>
</file>