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 w:after="240"/>
        <w:jc w:val="center"/>
      </w:pPr>
      <w:r>
        <w:rPr>
          <w:rFonts w:ascii="Arial" w:hAnsi="Arial"/>
          <w:b/>
          <w:color w:val="5F259F"/>
          <w:sz w:val="52"/>
        </w:rPr>
        <w:t>PHONEPE PULSE DASHBOARD</w:t>
      </w:r>
    </w:p>
    <w:p>
      <w:pPr>
        <w:spacing w:after="3000"/>
        <w:jc w:val="center"/>
      </w:pPr>
      <w:r>
        <w:rPr>
          <w:rFonts w:ascii="Arial" w:hAnsi="Arial"/>
          <w:i/>
          <w:color w:val="64748B"/>
          <w:sz w:val="26"/>
        </w:rPr>
        <w:t>Detailed System Architecture, Relational Schema, Codebase Specifications &amp; Implementation Report</w:t>
      </w:r>
    </w:p>
    <w:p>
      <w:pPr>
        <w:spacing w:after="60"/>
        <w:jc w:val="center"/>
      </w:pPr>
      <w:r>
        <w:rPr>
          <w:rFonts w:ascii="Arial" w:hAnsi="Arial"/>
          <w:b/>
          <w:color w:val="475569"/>
          <w:sz w:val="19"/>
        </w:rPr>
        <w:t xml:space="preserve">Document Type: </w:t>
      </w:r>
      <w:r>
        <w:rPr>
          <w:rFonts w:ascii="Arial" w:hAnsi="Arial"/>
          <w:color w:val="1E293B"/>
          <w:sz w:val="19"/>
        </w:rPr>
        <w:t>Technical &amp; Operational Documentation</w:t>
      </w:r>
    </w:p>
    <w:p>
      <w:pPr>
        <w:spacing w:after="60"/>
        <w:jc w:val="center"/>
      </w:pPr>
      <w:r>
        <w:rPr>
          <w:rFonts w:ascii="Arial" w:hAnsi="Arial"/>
          <w:b/>
          <w:color w:val="475569"/>
          <w:sz w:val="19"/>
        </w:rPr>
        <w:t xml:space="preserve">Project Title: </w:t>
      </w:r>
      <w:r>
        <w:rPr>
          <w:rFonts w:ascii="Arial" w:hAnsi="Arial"/>
          <w:color w:val="1E293B"/>
          <w:sz w:val="19"/>
        </w:rPr>
        <w:t>PhonePe Pulse India Payment Intelligence Dashboard</w:t>
      </w:r>
    </w:p>
    <w:p>
      <w:pPr>
        <w:spacing w:after="60"/>
        <w:jc w:val="center"/>
      </w:pPr>
      <w:r>
        <w:rPr>
          <w:rFonts w:ascii="Arial" w:hAnsi="Arial"/>
          <w:b/>
          <w:color w:val="475569"/>
          <w:sz w:val="19"/>
        </w:rPr>
        <w:t xml:space="preserve">Backend Engine: </w:t>
      </w:r>
      <w:r>
        <w:rPr>
          <w:rFonts w:ascii="Arial" w:hAnsi="Arial"/>
          <w:color w:val="1E293B"/>
          <w:sz w:val="19"/>
        </w:rPr>
        <w:t>Python, SQLite3</w:t>
      </w:r>
    </w:p>
    <w:p>
      <w:pPr>
        <w:spacing w:after="60"/>
        <w:jc w:val="center"/>
      </w:pPr>
      <w:r>
        <w:rPr>
          <w:rFonts w:ascii="Arial" w:hAnsi="Arial"/>
          <w:b/>
          <w:color w:val="475569"/>
          <w:sz w:val="19"/>
        </w:rPr>
        <w:t xml:space="preserve">Frontend Interface: </w:t>
      </w:r>
      <w:r>
        <w:rPr>
          <w:rFonts w:ascii="Arial" w:hAnsi="Arial"/>
          <w:color w:val="1E293B"/>
          <w:sz w:val="19"/>
        </w:rPr>
        <w:t>Streamlit, Plotly Express</w:t>
      </w:r>
    </w:p>
    <w:p>
      <w:pPr>
        <w:spacing w:after="60"/>
        <w:jc w:val="center"/>
      </w:pPr>
      <w:r>
        <w:rPr>
          <w:rFonts w:ascii="Arial" w:hAnsi="Arial"/>
          <w:b/>
          <w:color w:val="475569"/>
          <w:sz w:val="19"/>
        </w:rPr>
        <w:t xml:space="preserve">Date of Compilation: </w:t>
      </w:r>
      <w:r>
        <w:rPr>
          <w:rFonts w:ascii="Arial" w:hAnsi="Arial"/>
          <w:color w:val="1E293B"/>
          <w:sz w:val="19"/>
        </w:rPr>
        <w:t>May 2026</w:t>
      </w:r>
    </w:p>
    <w:p>
      <w:pPr>
        <w:spacing w:after="60"/>
        <w:jc w:val="center"/>
      </w:pPr>
      <w:r>
        <w:rPr>
          <w:rFonts w:ascii="Arial" w:hAnsi="Arial"/>
          <w:b/>
          <w:color w:val="475569"/>
          <w:sz w:val="19"/>
        </w:rPr>
        <w:t xml:space="preserve">Status: </w:t>
      </w:r>
      <w:r>
        <w:rPr>
          <w:rFonts w:ascii="Arial" w:hAnsi="Arial"/>
          <w:color w:val="1E293B"/>
          <w:sz w:val="19"/>
        </w:rPr>
        <w:t>Approved / Production Ready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5F259F"/>
          <w:sz w:val="36"/>
        </w:rPr>
        <w:t>1. Executive Summary</w:t>
      </w:r>
    </w:p>
    <w:p>
      <w:pPr>
        <w:spacing w:after="100" w:line="276" w:lineRule="auto"/>
      </w:pPr>
      <w:r>
        <w:rPr>
          <w:rFonts w:ascii="Arial" w:hAnsi="Arial"/>
          <w:color w:val="1E293B"/>
          <w:sz w:val="21"/>
        </w:rPr>
        <w:t xml:space="preserve">The </w:t>
      </w:r>
      <w:r>
        <w:rPr>
          <w:rFonts w:ascii="Arial" w:hAnsi="Arial"/>
          <w:b/>
          <w:color w:val="1E293B"/>
          <w:sz w:val="21"/>
        </w:rPr>
        <w:t>PhonePe Pulse Dashboard</w:t>
      </w:r>
      <w:r>
        <w:rPr>
          <w:rFonts w:ascii="Arial" w:hAnsi="Arial"/>
          <w:color w:val="1E293B"/>
          <w:sz w:val="21"/>
        </w:rPr>
        <w:t xml:space="preserve"> is a comprehensive, data-driven analytics platform designed to visualises and decode transaction patterns, user registrations, and device footprints across India. By extracting and cleaning data from the official </w:t>
      </w:r>
      <w:r>
        <w:rPr>
          <w:rFonts w:ascii="Arial" w:hAnsi="Arial"/>
          <w:b/>
          <w:color w:val="1E293B"/>
          <w:sz w:val="21"/>
        </w:rPr>
        <w:t>PhonePe Pulse open-source repository</w:t>
      </w:r>
      <w:r>
        <w:rPr>
          <w:rFonts w:ascii="Arial" w:hAnsi="Arial"/>
          <w:color w:val="1E293B"/>
          <w:sz w:val="21"/>
        </w:rPr>
        <w:t>, the application converts unstructured JSON files into an optimized local relational database structure, making the vast repository of payment statistics accessible for researchers, developers, and business stakeholders.</w:t>
      </w:r>
    </w:p>
    <w:p>
      <w:pPr>
        <w:spacing w:after="100" w:line="276" w:lineRule="auto"/>
      </w:pPr>
      <w:r>
        <w:rPr>
          <w:rFonts w:ascii="Arial" w:hAnsi="Arial"/>
          <w:color w:val="1E293B"/>
          <w:sz w:val="21"/>
        </w:rPr>
        <w:t>Key highlights of this implementation include:</w:t>
      </w:r>
    </w:p>
    <w:p>
      <w:pPr>
        <w:pStyle w:val="ListBullet"/>
        <w:spacing w:after="100" w:line="276" w:lineRule="auto"/>
      </w:pPr>
      <w:r>
        <w:rPr>
          <w:rFonts w:ascii="Arial" w:hAnsi="Arial"/>
          <w:b/>
          <w:color w:val="1E293B"/>
          <w:sz w:val="21"/>
        </w:rPr>
        <w:t>Relational Storage Conversion</w:t>
      </w:r>
      <w:r>
        <w:rPr>
          <w:rFonts w:ascii="Arial" w:hAnsi="Arial"/>
          <w:color w:val="1E293B"/>
          <w:sz w:val="21"/>
        </w:rPr>
        <w:t>: Converts over 10,000 deep-nested state, district, and pincode JSON files into a structured SQLite database.</w:t>
      </w:r>
    </w:p>
    <w:p>
      <w:pPr>
        <w:pStyle w:val="ListBullet"/>
        <w:spacing w:after="100" w:line="276" w:lineRule="auto"/>
      </w:pPr>
      <w:r>
        <w:rPr>
          <w:rFonts w:ascii="Arial" w:hAnsi="Arial"/>
          <w:b/>
          <w:color w:val="1E293B"/>
          <w:sz w:val="21"/>
        </w:rPr>
        <w:t>Optimized Query Speeds</w:t>
      </w:r>
      <w:r>
        <w:rPr>
          <w:rFonts w:ascii="Arial" w:hAnsi="Arial"/>
          <w:color w:val="1E293B"/>
          <w:sz w:val="21"/>
        </w:rPr>
        <w:t>: Custom database indexing on filter dimensions (Year, Quarter, State) minimizes visualization loading times.</w:t>
      </w:r>
    </w:p>
    <w:p>
      <w:pPr>
        <w:pStyle w:val="ListBullet"/>
        <w:spacing w:after="100" w:line="276" w:lineRule="auto"/>
      </w:pPr>
      <w:r>
        <w:rPr>
          <w:rFonts w:ascii="Arial" w:hAnsi="Arial"/>
          <w:b/>
          <w:color w:val="1E293B"/>
          <w:sz w:val="21"/>
        </w:rPr>
        <w:t>Premium User Experience</w:t>
      </w:r>
      <w:r>
        <w:rPr>
          <w:rFonts w:ascii="Arial" w:hAnsi="Arial"/>
          <w:color w:val="1E293B"/>
          <w:sz w:val="21"/>
        </w:rPr>
        <w:t>: Designed using cyber-dark aesthetics, glassmorphic layout wrappers, custom transitions, and Google Fonts integration.</w:t>
      </w:r>
    </w:p>
    <w:p>
      <w:pPr>
        <w:pStyle w:val="ListBullet"/>
        <w:spacing w:after="100" w:line="276" w:lineRule="auto"/>
      </w:pPr>
      <w:r>
        <w:rPr>
          <w:rFonts w:ascii="Arial" w:hAnsi="Arial"/>
          <w:b/>
          <w:color w:val="1E293B"/>
          <w:sz w:val="21"/>
        </w:rPr>
        <w:t>Business Decision Tools</w:t>
      </w:r>
      <w:r>
        <w:rPr>
          <w:rFonts w:ascii="Arial" w:hAnsi="Arial"/>
          <w:color w:val="1E293B"/>
          <w:sz w:val="21"/>
        </w:rPr>
        <w:t>: Features a dedicated 'State Lab' executing complex SQL window functions to group states by user engagement and spending capacity.</w:t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5F259F"/>
          <w:sz w:val="36"/>
        </w:rPr>
        <w:t>2. System Architecture &amp; Technical Flow</w:t>
      </w:r>
    </w:p>
    <w:p>
      <w:pPr>
        <w:spacing w:after="100" w:line="276" w:lineRule="auto"/>
      </w:pPr>
      <w:r>
        <w:rPr>
          <w:rFonts w:ascii="Arial" w:hAnsi="Arial"/>
          <w:color w:val="1E293B"/>
          <w:sz w:val="21"/>
        </w:rPr>
        <w:t>The system follows a strict three-tier architecture ensuring decoupling between data extraction, persistence, and visual rendering:</w:t>
      </w:r>
    </w:p>
    <w:p>
      <w:pPr>
        <w:spacing w:before="120" w:after="120" w:line="276" w:lineRule="auto"/>
        <w:ind w:left="576"/>
        <w:shd w:fill="F5F3FF"/>
        <w:pBdr>
          <w:left w:val="single" w:sz="24" w:space="8" w:color="8B5CF6"/>
        </w:pBdr>
      </w:pPr>
      <w:r>
        <w:rPr>
          <w:rFonts w:ascii="Arial" w:hAnsi="Arial"/>
          <w:b/>
          <w:color w:val="5F259F"/>
          <w:sz w:val="20"/>
        </w:rPr>
        <w:t xml:space="preserve">THREE-TIER APPLICATION PIPELINE: </w:t>
      </w:r>
      <w:r>
        <w:rPr>
          <w:rFonts w:ascii="Arial" w:hAnsi="Arial"/>
          <w:color w:val="475569"/>
          <w:sz w:val="20"/>
        </w:rPr>
        <w:t>1. Extraction Tier: PhonePeDataExtractor walks through local JSON hierarchies, parsing metrics and cleaning keys.</w:t>
        <w:br/>
        <w:t>2. Storage Tier: DatabaseManager sets up indexes, creates tables, and acts as the cached transaction bridge.</w:t>
        <w:br/>
        <w:t>3. Visualization Tier: Streamlit &amp; Plotly layout menus, query the db using SQLite, and plot charts dynamically.</w:t>
      </w:r>
    </w:p>
    <w:p>
      <w:pPr>
        <w:spacing w:after="100" w:line="276" w:lineRule="auto"/>
      </w:pPr>
      <w:r>
        <w:rPr>
          <w:rFonts w:ascii="Arial" w:hAnsi="Arial"/>
          <w:color w:val="1E293B"/>
          <w:sz w:val="21"/>
        </w:rPr>
        <w:t>Below is the structured data pipeline flow from raw repository clone to final interactive dashboard:</w:t>
      </w:r>
    </w:p>
    <w:p>
      <w:pPr>
        <w:pStyle w:val="ListBullet"/>
        <w:spacing w:after="100" w:line="276" w:lineRule="auto"/>
      </w:pPr>
      <w:r>
        <w:rPr>
          <w:rFonts w:ascii="Arial" w:hAnsi="Arial"/>
          <w:b/>
          <w:color w:val="1E293B"/>
          <w:sz w:val="21"/>
        </w:rPr>
        <w:t>Step 1: Cloned Data Check</w:t>
      </w:r>
      <w:r>
        <w:rPr>
          <w:rFonts w:ascii="Arial" w:hAnsi="Arial"/>
          <w:color w:val="1E293B"/>
          <w:sz w:val="21"/>
        </w:rPr>
        <w:t xml:space="preserve">: The application scans pre-defined paths (including workspace and system drives) to find the cloned </w:t>
      </w:r>
      <w:r>
        <w:rPr>
          <w:rFonts w:ascii="Courier New" w:hAnsi="Courier New"/>
          <w:color w:val="A855F7"/>
          <w:sz w:val="19"/>
        </w:rPr>
        <w:t>pulse</w:t>
      </w:r>
      <w:r>
        <w:rPr>
          <w:rFonts w:ascii="Arial" w:hAnsi="Arial"/>
          <w:color w:val="1E293B"/>
          <w:sz w:val="21"/>
        </w:rPr>
        <w:t xml:space="preserve"> git repository.</w:t>
      </w:r>
    </w:p>
    <w:p>
      <w:pPr>
        <w:pStyle w:val="ListBullet"/>
        <w:spacing w:after="100" w:line="276" w:lineRule="auto"/>
      </w:pPr>
      <w:r>
        <w:rPr>
          <w:rFonts w:ascii="Arial" w:hAnsi="Arial"/>
          <w:b/>
          <w:color w:val="1E293B"/>
          <w:sz w:val="21"/>
        </w:rPr>
        <w:t>Step 2: JSON Parsing</w:t>
      </w:r>
      <w:r>
        <w:rPr>
          <w:rFonts w:ascii="Arial" w:hAnsi="Arial"/>
          <w:color w:val="1E293B"/>
          <w:sz w:val="21"/>
        </w:rPr>
        <w:t xml:space="preserve">: The extractor recursively descends into </w:t>
      </w:r>
      <w:r>
        <w:rPr>
          <w:rFonts w:ascii="Courier New" w:hAnsi="Courier New"/>
          <w:color w:val="A855F7"/>
          <w:sz w:val="19"/>
        </w:rPr>
        <w:t>data/aggregated</w:t>
      </w:r>
      <w:r>
        <w:rPr>
          <w:rFonts w:ascii="Arial" w:hAnsi="Arial"/>
          <w:color w:val="1E293B"/>
          <w:sz w:val="21"/>
        </w:rPr>
        <w:t xml:space="preserve">, </w:t>
      </w:r>
      <w:r>
        <w:rPr>
          <w:rFonts w:ascii="Courier New" w:hAnsi="Courier New"/>
          <w:color w:val="A855F7"/>
          <w:sz w:val="19"/>
        </w:rPr>
        <w:t>data/map</w:t>
      </w:r>
      <w:r>
        <w:rPr>
          <w:rFonts w:ascii="Arial" w:hAnsi="Arial"/>
          <w:color w:val="1E293B"/>
          <w:sz w:val="21"/>
        </w:rPr>
        <w:t xml:space="preserve">, and </w:t>
      </w:r>
      <w:r>
        <w:rPr>
          <w:rFonts w:ascii="Courier New" w:hAnsi="Courier New"/>
          <w:color w:val="A855F7"/>
          <w:sz w:val="19"/>
        </w:rPr>
        <w:t>data/top</w:t>
      </w:r>
      <w:r>
        <w:rPr>
          <w:rFonts w:ascii="Arial" w:hAnsi="Arial"/>
          <w:color w:val="1E293B"/>
          <w:sz w:val="21"/>
        </w:rPr>
        <w:t xml:space="preserve"> directories to parse JSON files matching </w:t>
      </w:r>
      <w:r>
        <w:rPr>
          <w:rFonts w:ascii="Courier New" w:hAnsi="Courier New"/>
          <w:color w:val="A855F7"/>
          <w:sz w:val="19"/>
        </w:rPr>
        <w:t>&lt;state&gt;/&lt;year&gt;/&lt;quarter&gt;.json</w:t>
      </w:r>
      <w:r>
        <w:rPr>
          <w:rFonts w:ascii="Arial" w:hAnsi="Arial"/>
          <w:color w:val="1E293B"/>
          <w:sz w:val="21"/>
        </w:rPr>
        <w:t xml:space="preserve"> structure.</w:t>
      </w:r>
    </w:p>
    <w:p>
      <w:pPr>
        <w:pStyle w:val="ListBullet"/>
        <w:spacing w:after="100" w:line="276" w:lineRule="auto"/>
      </w:pPr>
      <w:r>
        <w:rPr>
          <w:rFonts w:ascii="Arial" w:hAnsi="Arial"/>
          <w:b/>
          <w:color w:val="1E293B"/>
          <w:sz w:val="21"/>
        </w:rPr>
        <w:t>Step 3: SQLite Staging</w:t>
      </w:r>
      <w:r>
        <w:rPr>
          <w:rFonts w:ascii="Arial" w:hAnsi="Arial"/>
          <w:color w:val="1E293B"/>
          <w:sz w:val="21"/>
        </w:rPr>
        <w:t>: Discovered JSON structures are parsed into pandas DataFrames, normalized, and written into a local SQLite database (</w:t>
      </w:r>
      <w:r>
        <w:rPr>
          <w:rFonts w:ascii="Courier New" w:hAnsi="Courier New"/>
          <w:color w:val="A855F7"/>
          <w:sz w:val="19"/>
        </w:rPr>
        <w:t>phonepe_pulse.db</w:t>
      </w:r>
      <w:r>
        <w:rPr>
          <w:rFonts w:ascii="Arial" w:hAnsi="Arial"/>
          <w:color w:val="1E293B"/>
          <w:sz w:val="21"/>
        </w:rPr>
        <w:t>).</w:t>
      </w:r>
    </w:p>
    <w:p>
      <w:pPr>
        <w:pStyle w:val="ListBullet"/>
        <w:spacing w:after="100" w:line="276" w:lineRule="auto"/>
      </w:pPr>
      <w:r>
        <w:rPr>
          <w:rFonts w:ascii="Arial" w:hAnsi="Arial"/>
          <w:b/>
          <w:color w:val="1E293B"/>
          <w:sz w:val="21"/>
        </w:rPr>
        <w:t>Step 4: Streamlit Client Querying</w:t>
      </w:r>
      <w:r>
        <w:rPr>
          <w:rFonts w:ascii="Arial" w:hAnsi="Arial"/>
          <w:color w:val="1E293B"/>
          <w:sz w:val="21"/>
        </w:rPr>
        <w:t>: When filters in the sidebar are modified, Streamlit sends clean SQL queries to the SQLite file, avoiding slow in-memory Python operations.</w:t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5F259F"/>
          <w:sz w:val="36"/>
        </w:rPr>
        <w:t>3. Database Schema &amp; Indexing Model</w:t>
      </w:r>
    </w:p>
    <w:p>
      <w:pPr>
        <w:spacing w:after="100" w:line="276" w:lineRule="auto"/>
      </w:pPr>
      <w:r>
        <w:rPr>
          <w:rFonts w:ascii="Arial" w:hAnsi="Arial"/>
          <w:color w:val="1E293B"/>
          <w:sz w:val="21"/>
        </w:rPr>
        <w:t xml:space="preserve">The sqlite database file, </w:t>
      </w:r>
      <w:r>
        <w:rPr>
          <w:rFonts w:ascii="Courier New" w:hAnsi="Courier New"/>
          <w:color w:val="A855F7"/>
          <w:sz w:val="19"/>
        </w:rPr>
        <w:t>phonepe_pulse.db</w:t>
      </w:r>
      <w:r>
        <w:rPr>
          <w:rFonts w:ascii="Arial" w:hAnsi="Arial"/>
          <w:color w:val="1E293B"/>
          <w:sz w:val="21"/>
        </w:rPr>
        <w:t>, consolidates spatial and temporal dimensions across 6 tables. Each table serves specific granular views (State, District, or Pincode level).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475569"/>
          <w:sz w:val="27"/>
        </w:rPr>
        <w:t>3.1 Schema Definition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5F259F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Table Name</w:t>
            </w:r>
          </w:p>
        </w:tc>
        <w:tc>
          <w:tcPr>
            <w:tcW w:type="dxa" w:w="2340"/>
            <w:shd w:fill="5F259F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Granularity</w:t>
            </w:r>
          </w:p>
        </w:tc>
        <w:tc>
          <w:tcPr>
            <w:tcW w:type="dxa" w:w="2340"/>
            <w:shd w:fill="5F259F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Core Columns</w:t>
            </w:r>
          </w:p>
        </w:tc>
        <w:tc>
          <w:tcPr>
            <w:tcW w:type="dxa" w:w="2340"/>
            <w:shd w:fill="5F259F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40"/>
          </w:tcPr>
          <w:p>
            <w:pPr>
              <w:spacing w:before="80" w:after="80"/>
            </w:pPr>
            <w:r>
              <w:rPr>
                <w:rFonts w:ascii="Arial" w:hAnsi="Arial"/>
                <w:color w:val="1E293B"/>
                <w:sz w:val="18"/>
              </w:rPr>
              <w:t>aggregated_transaction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>
              <w:rPr>
                <w:rFonts w:ascii="Arial" w:hAnsi="Arial"/>
                <w:color w:val="1E293B"/>
                <w:sz w:val="18"/>
              </w:rPr>
              <w:t>State / Transaction Type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>
              <w:rPr>
                <w:rFonts w:ascii="Arial" w:hAnsi="Arial"/>
                <w:color w:val="1E293B"/>
                <w:sz w:val="18"/>
              </w:rPr>
              <w:t>State, Year, Quarter, Transaction_Type, Transaction_Count, Transaction_Amount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>
              <w:rPr>
                <w:rFonts w:ascii="Arial" w:hAnsi="Arial"/>
                <w:color w:val="1E293B"/>
                <w:sz w:val="18"/>
              </w:rPr>
              <w:t>Stores aggregated sums of payment methods per quarter per state.</w:t>
            </w:r>
          </w:p>
        </w:tc>
      </w:tr>
      <w:tr>
        <w:tc>
          <w:tcPr>
            <w:tcW w:type="dxa" w:w="2340"/>
            <w:shd w:fill="F8FAFC"/>
          </w:tcPr>
          <w:p>
            <w:pPr>
              <w:spacing w:before="80" w:after="80"/>
            </w:pPr>
            <w:r>
              <w:rPr>
                <w:rFonts w:ascii="Arial" w:hAnsi="Arial"/>
                <w:color w:val="1E293B"/>
                <w:sz w:val="18"/>
              </w:rPr>
              <w:t>aggregated_user</w:t>
            </w:r>
          </w:p>
        </w:tc>
        <w:tc>
          <w:tcPr>
            <w:tcW w:type="dxa" w:w="2340"/>
            <w:shd w:fill="F8FAFC"/>
          </w:tcPr>
          <w:p>
            <w:pPr>
              <w:spacing w:before="80" w:after="80"/>
            </w:pPr>
            <w:r>
              <w:rPr>
                <w:rFonts w:ascii="Arial" w:hAnsi="Arial"/>
                <w:color w:val="1E293B"/>
                <w:sz w:val="18"/>
              </w:rPr>
              <w:t>State / Mobile Brand</w:t>
            </w:r>
          </w:p>
        </w:tc>
        <w:tc>
          <w:tcPr>
            <w:tcW w:type="dxa" w:w="2340"/>
            <w:shd w:fill="F8FAFC"/>
          </w:tcPr>
          <w:p>
            <w:pPr>
              <w:spacing w:before="80" w:after="80"/>
            </w:pPr>
            <w:r>
              <w:rPr>
                <w:rFonts w:ascii="Arial" w:hAnsi="Arial"/>
                <w:color w:val="1E293B"/>
                <w:sz w:val="18"/>
              </w:rPr>
              <w:t>State, Year, Quarter, User_Type (Brand), User_Count, User_Percentage</w:t>
            </w:r>
          </w:p>
        </w:tc>
        <w:tc>
          <w:tcPr>
            <w:tcW w:type="dxa" w:w="2340"/>
            <w:shd w:fill="F8FAFC"/>
          </w:tcPr>
          <w:p>
            <w:pPr>
              <w:spacing w:before="80" w:after="80"/>
            </w:pPr>
            <w:r>
              <w:rPr>
                <w:rFonts w:ascii="Arial" w:hAnsi="Arial"/>
                <w:color w:val="1E293B"/>
                <w:sz w:val="18"/>
              </w:rPr>
              <w:t>Captures mobile hardware brand distribution per state.</w:t>
            </w:r>
          </w:p>
        </w:tc>
      </w:tr>
      <w:tr>
        <w:tc>
          <w:tcPr>
            <w:tcW w:type="dxa" w:w="2340"/>
          </w:tcPr>
          <w:p>
            <w:pPr>
              <w:spacing w:before="80" w:after="80"/>
            </w:pPr>
            <w:r>
              <w:rPr>
                <w:rFonts w:ascii="Arial" w:hAnsi="Arial"/>
                <w:color w:val="1E293B"/>
                <w:sz w:val="18"/>
              </w:rPr>
              <w:t>map_transaction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>
              <w:rPr>
                <w:rFonts w:ascii="Arial" w:hAnsi="Arial"/>
                <w:color w:val="1E293B"/>
                <w:sz w:val="18"/>
              </w:rPr>
              <w:t>District level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>
              <w:rPr>
                <w:rFonts w:ascii="Arial" w:hAnsi="Arial"/>
                <w:color w:val="1E293B"/>
                <w:sz w:val="18"/>
              </w:rPr>
              <w:t>State, Year, Quarter, District, Transaction_Count, Transaction_Amount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>
              <w:rPr>
                <w:rFonts w:ascii="Arial" w:hAnsi="Arial"/>
                <w:color w:val="1E293B"/>
                <w:sz w:val="18"/>
              </w:rPr>
              <w:t>Enables granular district transaction amount plotting.</w:t>
            </w:r>
          </w:p>
        </w:tc>
      </w:tr>
      <w:tr>
        <w:tc>
          <w:tcPr>
            <w:tcW w:type="dxa" w:w="2340"/>
            <w:shd w:fill="F8FAFC"/>
          </w:tcPr>
          <w:p>
            <w:pPr>
              <w:spacing w:before="80" w:after="80"/>
            </w:pPr>
            <w:r>
              <w:rPr>
                <w:rFonts w:ascii="Arial" w:hAnsi="Arial"/>
                <w:color w:val="1E293B"/>
                <w:sz w:val="18"/>
              </w:rPr>
              <w:t>map_user</w:t>
            </w:r>
          </w:p>
        </w:tc>
        <w:tc>
          <w:tcPr>
            <w:tcW w:type="dxa" w:w="2340"/>
            <w:shd w:fill="F8FAFC"/>
          </w:tcPr>
          <w:p>
            <w:pPr>
              <w:spacing w:before="80" w:after="80"/>
            </w:pPr>
            <w:r>
              <w:rPr>
                <w:rFonts w:ascii="Arial" w:hAnsi="Arial"/>
                <w:color w:val="1E293B"/>
                <w:sz w:val="18"/>
              </w:rPr>
              <w:t>District level</w:t>
            </w:r>
          </w:p>
        </w:tc>
        <w:tc>
          <w:tcPr>
            <w:tcW w:type="dxa" w:w="2340"/>
            <w:shd w:fill="F8FAFC"/>
          </w:tcPr>
          <w:p>
            <w:pPr>
              <w:spacing w:before="80" w:after="80"/>
            </w:pPr>
            <w:r>
              <w:rPr>
                <w:rFonts w:ascii="Arial" w:hAnsi="Arial"/>
                <w:color w:val="1E293B"/>
                <w:sz w:val="18"/>
              </w:rPr>
              <w:t>State, Year, Quarter, District, Registered_Users, App_Opens</w:t>
            </w:r>
          </w:p>
        </w:tc>
        <w:tc>
          <w:tcPr>
            <w:tcW w:type="dxa" w:w="2340"/>
            <w:shd w:fill="F8FAFC"/>
          </w:tcPr>
          <w:p>
            <w:pPr>
              <w:spacing w:before="80" w:after="80"/>
            </w:pPr>
            <w:r>
              <w:rPr>
                <w:rFonts w:ascii="Arial" w:hAnsi="Arial"/>
                <w:color w:val="1E293B"/>
                <w:sz w:val="18"/>
              </w:rPr>
              <w:t>Tracks mobile engagement ratios at district boundaries.</w:t>
            </w:r>
          </w:p>
        </w:tc>
      </w:tr>
      <w:tr>
        <w:tc>
          <w:tcPr>
            <w:tcW w:type="dxa" w:w="2340"/>
          </w:tcPr>
          <w:p>
            <w:pPr>
              <w:spacing w:before="80" w:after="80"/>
            </w:pPr>
            <w:r>
              <w:rPr>
                <w:rFonts w:ascii="Arial" w:hAnsi="Arial"/>
                <w:color w:val="1E293B"/>
                <w:sz w:val="18"/>
              </w:rPr>
              <w:t>top_transaction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>
              <w:rPr>
                <w:rFonts w:ascii="Arial" w:hAnsi="Arial"/>
                <w:color w:val="1E293B"/>
                <w:sz w:val="18"/>
              </w:rPr>
              <w:t>Pincode level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>
              <w:rPr>
                <w:rFonts w:ascii="Arial" w:hAnsi="Arial"/>
                <w:color w:val="1E293B"/>
                <w:sz w:val="18"/>
              </w:rPr>
              <w:t>State, Year, Quarter, Pincode, Transaction_Count, Transaction_Amount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>
              <w:rPr>
                <w:rFonts w:ascii="Arial" w:hAnsi="Arial"/>
                <w:color w:val="1E293B"/>
                <w:sz w:val="18"/>
              </w:rPr>
              <w:t>Used to rank top economic hubs by specific ZIP/Pincode locations.</w:t>
            </w:r>
          </w:p>
        </w:tc>
      </w:tr>
      <w:tr>
        <w:tc>
          <w:tcPr>
            <w:tcW w:type="dxa" w:w="2340"/>
            <w:shd w:fill="F8FAFC"/>
          </w:tcPr>
          <w:p>
            <w:pPr>
              <w:spacing w:before="80" w:after="80"/>
            </w:pPr>
            <w:r>
              <w:rPr>
                <w:rFonts w:ascii="Arial" w:hAnsi="Arial"/>
                <w:color w:val="1E293B"/>
                <w:sz w:val="18"/>
              </w:rPr>
              <w:t>top_user</w:t>
            </w:r>
          </w:p>
        </w:tc>
        <w:tc>
          <w:tcPr>
            <w:tcW w:type="dxa" w:w="2340"/>
            <w:shd w:fill="F8FAFC"/>
          </w:tcPr>
          <w:p>
            <w:pPr>
              <w:spacing w:before="80" w:after="80"/>
            </w:pPr>
            <w:r>
              <w:rPr>
                <w:rFonts w:ascii="Arial" w:hAnsi="Arial"/>
                <w:color w:val="1E293B"/>
                <w:sz w:val="18"/>
              </w:rPr>
              <w:t>District level ranking</w:t>
            </w:r>
          </w:p>
        </w:tc>
        <w:tc>
          <w:tcPr>
            <w:tcW w:type="dxa" w:w="2340"/>
            <w:shd w:fill="F8FAFC"/>
          </w:tcPr>
          <w:p>
            <w:pPr>
              <w:spacing w:before="80" w:after="80"/>
            </w:pPr>
            <w:r>
              <w:rPr>
                <w:rFonts w:ascii="Arial" w:hAnsi="Arial"/>
                <w:color w:val="1E293B"/>
                <w:sz w:val="18"/>
              </w:rPr>
              <w:t>State, Year, Quarter, District, Registered_Users</w:t>
            </w:r>
          </w:p>
        </w:tc>
        <w:tc>
          <w:tcPr>
            <w:tcW w:type="dxa" w:w="2340"/>
            <w:shd w:fill="F8FAFC"/>
          </w:tcPr>
          <w:p>
            <w:pPr>
              <w:spacing w:before="80" w:after="80"/>
            </w:pPr>
            <w:r>
              <w:rPr>
                <w:rFonts w:ascii="Arial" w:hAnsi="Arial"/>
                <w:color w:val="1E293B"/>
                <w:sz w:val="18"/>
              </w:rPr>
              <w:t>Ranks top district user databases across states.</w:t>
            </w:r>
          </w:p>
        </w:tc>
      </w:tr>
    </w:tbl>
    <w:p>
      <w:pPr>
        <w:pStyle w:val="Heading2"/>
        <w:keepNext/>
        <w:spacing w:before="280" w:after="120"/>
      </w:pPr>
      <w:r>
        <w:rPr>
          <w:rFonts w:ascii="Arial" w:hAnsi="Arial"/>
          <w:b/>
          <w:color w:val="475569"/>
          <w:sz w:val="27"/>
        </w:rPr>
        <w:t>3.2 Performance Optimizing Indexing</w:t>
      </w:r>
    </w:p>
    <w:p>
      <w:pPr>
        <w:spacing w:after="100" w:line="276" w:lineRule="auto"/>
      </w:pPr>
      <w:r>
        <w:rPr>
          <w:rFonts w:ascii="Arial" w:hAnsi="Arial"/>
          <w:color w:val="1E293B"/>
          <w:sz w:val="21"/>
        </w:rPr>
        <w:t>To achieve instantaneous dashboard updates (&lt;50ms latency), six database indexes are applied. These indexes prevent full table scans when users adjust sidebar filters:</w:t>
      </w:r>
    </w:p>
    <w:p>
      <w:pPr>
        <w:spacing w:before="120" w:after="120" w:line="240" w:lineRule="auto"/>
        <w:ind w:left="576"/>
        <w:shd w:fill="F1F5F9"/>
        <w:pBdr>
          <w:left w:val="single" w:sz="18" w:space="8" w:color="5F259F"/>
        </w:pBdr>
      </w:pPr>
      <w:r>
        <w:rPr>
          <w:rFonts w:ascii="Courier New" w:hAnsi="Courier New"/>
          <w:color w:val="334155"/>
          <w:sz w:val="18"/>
        </w:rPr>
        <w:t>CREATE INDEX IF NOT EXISTS idx_agg_txn_yqs ON aggregated_transaction (Year, Quarter, State);</w:t>
        <w:br/>
        <w:t>CREATE INDEX IF NOT EXISTS idx_agg_txn_type ON aggregated_transaction (Transaction_Type);</w:t>
        <w:br/>
        <w:t>CREATE INDEX IF NOT EXISTS idx_agg_user_yqs ON aggregated_user (Year, Quarter, State);</w:t>
        <w:br/>
        <w:t>CREATE INDEX IF NOT EXISTS idx_map_txn_yqsd ON map_transaction (Year, Quarter, State, District);</w:t>
        <w:br/>
        <w:t>CREATE INDEX IF NOT EXISTS idx_map_user_yqsd ON map_user (Year, Quarter, State, District);</w:t>
        <w:br/>
        <w:t>CREATE INDEX IF NOT EXISTS idx_top_txn_yqsp ON top_transaction (Year, Quarter, State, Pincode);</w:t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5F259F"/>
          <w:sz w:val="36"/>
        </w:rPr>
        <w:t>4. Dashboard Feature Modules</w:t>
      </w:r>
    </w:p>
    <w:p>
      <w:pPr>
        <w:spacing w:after="100" w:line="276" w:lineRule="auto"/>
      </w:pPr>
      <w:r>
        <w:rPr>
          <w:rFonts w:ascii="Arial" w:hAnsi="Arial"/>
          <w:color w:val="1E293B"/>
          <w:sz w:val="21"/>
        </w:rPr>
        <w:t>The dashboard's layout is split into five functional sections accessible through a custom segmented control menu: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475569"/>
          <w:sz w:val="27"/>
        </w:rPr>
        <w:t>4.1 Transactions Tab</w:t>
      </w:r>
    </w:p>
    <w:p>
      <w:pPr>
        <w:spacing w:after="100" w:line="276" w:lineRule="auto"/>
      </w:pPr>
      <w:r>
        <w:rPr>
          <w:rFonts w:ascii="Arial" w:hAnsi="Arial"/>
          <w:color w:val="1E293B"/>
          <w:sz w:val="21"/>
        </w:rPr>
        <w:t xml:space="preserve">Renders overall macroeconomic payment data. It includes a custom styled KPI block (Total Value in Crores/Lakhs, Total Count, Average Ticket Size, and Top-Performing State) and displays an </w:t>
      </w:r>
      <w:r>
        <w:rPr>
          <w:rFonts w:ascii="Arial" w:hAnsi="Arial"/>
          <w:b/>
          <w:color w:val="1E293B"/>
          <w:sz w:val="21"/>
        </w:rPr>
        <w:t>India Choropleth Map</w:t>
      </w:r>
      <w:r>
        <w:rPr>
          <w:rFonts w:ascii="Arial" w:hAnsi="Arial"/>
          <w:color w:val="1E293B"/>
          <w:sz w:val="21"/>
        </w:rPr>
        <w:t xml:space="preserve"> visualizing spatial distribution of transaction volumes. It also includes category breakdowns (e.g. Peer-to-peer, Merchant payments) represented in a doughnut chart, and yearly/quarterly trends plotted via side-by-side bar and line charts.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475569"/>
          <w:sz w:val="27"/>
        </w:rPr>
        <w:t>4.2 Users &amp; Devices Tab</w:t>
      </w:r>
    </w:p>
    <w:p>
      <w:pPr>
        <w:spacing w:after="100" w:line="276" w:lineRule="auto"/>
      </w:pPr>
      <w:r>
        <w:rPr>
          <w:rFonts w:ascii="Arial" w:hAnsi="Arial"/>
          <w:color w:val="1E293B"/>
          <w:sz w:val="21"/>
        </w:rPr>
        <w:t>Highlights customer device usage and registry sizes. Features brand market share bars (ranking mobile manufacturers like Xiaomi, Samsung, Vivo, etc.) alongside a scatter plot comparing registered user bases against total app openings to display active app retention.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475569"/>
          <w:sz w:val="27"/>
        </w:rPr>
        <w:t>4.3 Geo Explorer Tab</w:t>
      </w:r>
    </w:p>
    <w:p>
      <w:pPr>
        <w:spacing w:after="100" w:line="276" w:lineRule="auto"/>
      </w:pPr>
      <w:r>
        <w:rPr>
          <w:rFonts w:ascii="Arial" w:hAnsi="Arial"/>
          <w:color w:val="1E293B"/>
          <w:sz w:val="21"/>
        </w:rPr>
        <w:t>An interactive space for map filtering. Users can switch variables (Amount vs Count vs Registered Users) and view rankings lists in dynamically sortable data tables.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475569"/>
          <w:sz w:val="27"/>
        </w:rPr>
        <w:t>4.4 Business Insights Tab</w:t>
      </w:r>
    </w:p>
    <w:p>
      <w:pPr>
        <w:spacing w:after="100" w:line="276" w:lineRule="auto"/>
      </w:pPr>
      <w:r>
        <w:rPr>
          <w:rFonts w:ascii="Arial" w:hAnsi="Arial"/>
          <w:color w:val="1E293B"/>
          <w:sz w:val="21"/>
        </w:rPr>
        <w:t>Fuses analytics with logic. Generates automated, text-based strategic bulletins using live SQL queries (e.g. calculating top state concentration ratios, YoY growth rates, leading device types, and engagement warning levels). Includes a bar chart featuring YoY revenue growth overlaid with a secondary axis growth rate trendline.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475569"/>
          <w:sz w:val="27"/>
        </w:rPr>
        <w:t>4.5 State Lab Tab</w:t>
      </w:r>
    </w:p>
    <w:p>
      <w:pPr>
        <w:spacing w:after="100" w:line="276" w:lineRule="auto"/>
      </w:pPr>
      <w:r>
        <w:rPr>
          <w:rFonts w:ascii="Arial" w:hAnsi="Arial"/>
          <w:color w:val="1E293B"/>
          <w:sz w:val="21"/>
        </w:rPr>
        <w:t xml:space="preserve">Advanced tool designed for comparing up to six states simultaneously across time. Contains a </w:t>
      </w:r>
      <w:r>
        <w:rPr>
          <w:rFonts w:ascii="Arial" w:hAnsi="Arial"/>
          <w:b/>
          <w:color w:val="1E293B"/>
          <w:sz w:val="21"/>
        </w:rPr>
        <w:t>District Drilldown Chart</w:t>
      </w:r>
      <w:r>
        <w:rPr>
          <w:rFonts w:ascii="Arial" w:hAnsi="Arial"/>
          <w:color w:val="1E293B"/>
          <w:sz w:val="21"/>
        </w:rPr>
        <w:t xml:space="preserve"> for localized audits and a </w:t>
      </w:r>
      <w:r>
        <w:rPr>
          <w:rFonts w:ascii="Arial" w:hAnsi="Arial"/>
          <w:b/>
          <w:color w:val="1E293B"/>
          <w:sz w:val="21"/>
        </w:rPr>
        <w:t>Customer Segmentation Scatter Plot</w:t>
      </w:r>
      <w:r>
        <w:rPr>
          <w:rFonts w:ascii="Arial" w:hAnsi="Arial"/>
          <w:color w:val="1E293B"/>
          <w:sz w:val="21"/>
        </w:rPr>
        <w:t>. The scatter plot categorizes states into four quadrants based on spending behavior and application engagement:</w:t>
      </w:r>
    </w:p>
    <w:p>
      <w:pPr>
        <w:pStyle w:val="ListBullet"/>
        <w:spacing w:after="100" w:line="276" w:lineRule="auto"/>
      </w:pPr>
      <w:r>
        <w:rPr>
          <w:rFonts w:ascii="Arial" w:hAnsi="Arial"/>
          <w:b/>
          <w:color w:val="1E293B"/>
          <w:sz w:val="21"/>
        </w:rPr>
        <w:t>High Value</w:t>
      </w:r>
      <w:r>
        <w:rPr>
          <w:rFonts w:ascii="Arial" w:hAnsi="Arial"/>
          <w:color w:val="1E293B"/>
          <w:sz w:val="21"/>
        </w:rPr>
        <w:t>: High Average Ticket size + High Engagement Ratio.</w:t>
      </w:r>
    </w:p>
    <w:p>
      <w:pPr>
        <w:pStyle w:val="ListBullet"/>
        <w:spacing w:after="100" w:line="276" w:lineRule="auto"/>
      </w:pPr>
      <w:r>
        <w:rPr>
          <w:rFonts w:ascii="Arial" w:hAnsi="Arial"/>
          <w:b/>
          <w:color w:val="1E293B"/>
          <w:sz w:val="21"/>
        </w:rPr>
        <w:t>High Engagement</w:t>
      </w:r>
      <w:r>
        <w:rPr>
          <w:rFonts w:ascii="Arial" w:hAnsi="Arial"/>
          <w:color w:val="1E293B"/>
          <w:sz w:val="21"/>
        </w:rPr>
        <w:t>: Lower ticket size, but highly active, returning user base.</w:t>
      </w:r>
    </w:p>
    <w:p>
      <w:pPr>
        <w:pStyle w:val="ListBullet"/>
        <w:spacing w:after="100" w:line="276" w:lineRule="auto"/>
      </w:pPr>
      <w:r>
        <w:rPr>
          <w:rFonts w:ascii="Arial" w:hAnsi="Arial"/>
          <w:b/>
          <w:color w:val="1E293B"/>
          <w:sz w:val="21"/>
        </w:rPr>
        <w:t>High Spend, Low Engagement</w:t>
      </w:r>
      <w:r>
        <w:rPr>
          <w:rFonts w:ascii="Arial" w:hAnsi="Arial"/>
          <w:color w:val="1E293B"/>
          <w:sz w:val="21"/>
        </w:rPr>
        <w:t>: High average transaction values, but low frequency of app usage.</w:t>
      </w:r>
    </w:p>
    <w:p>
      <w:pPr>
        <w:pStyle w:val="ListBullet"/>
        <w:spacing w:after="100" w:line="276" w:lineRule="auto"/>
      </w:pPr>
      <w:r>
        <w:rPr>
          <w:rFonts w:ascii="Arial" w:hAnsi="Arial"/>
          <w:b/>
          <w:color w:val="1E293B"/>
          <w:sz w:val="21"/>
        </w:rPr>
        <w:t>Needs Activation</w:t>
      </w:r>
      <w:r>
        <w:rPr>
          <w:rFonts w:ascii="Arial" w:hAnsi="Arial"/>
          <w:color w:val="1E293B"/>
          <w:sz w:val="21"/>
        </w:rPr>
        <w:t>: Below average on both spend and frequency; targets for promotions.</w:t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5F259F"/>
          <w:sz w:val="36"/>
        </w:rPr>
        <w:t>5. Critical Bug Fixes &amp; UX Optimization</w:t>
      </w:r>
    </w:p>
    <w:p>
      <w:pPr>
        <w:spacing w:after="100" w:line="276" w:lineRule="auto"/>
      </w:pPr>
      <w:r>
        <w:rPr>
          <w:rFonts w:ascii="Arial" w:hAnsi="Arial"/>
          <w:color w:val="1E293B"/>
          <w:sz w:val="21"/>
        </w:rPr>
        <w:t>Multiple technical revisions were completed to stabilize extraction pipelines and enhance visual performance:</w:t>
      </w:r>
    </w:p>
    <w:p>
      <w:pPr>
        <w:spacing w:after="100" w:line="276" w:lineRule="auto"/>
      </w:pPr>
      <w:r>
        <w:rPr>
          <w:rFonts w:ascii="Arial" w:hAnsi="Arial"/>
          <w:b/>
          <w:color w:val="1E293B"/>
          <w:sz w:val="21"/>
        </w:rPr>
        <w:t>1. Metric List-vs-Dict Normalization</w:t>
      </w:r>
      <w:r>
        <w:rPr>
          <w:rFonts w:ascii="Arial" w:hAnsi="Arial"/>
          <w:color w:val="1E293B"/>
          <w:sz w:val="21"/>
        </w:rPr>
        <w:t xml:space="preserve">: Raw PhonePe Pulse files formatted data differently depending on the folder: </w:t>
      </w:r>
      <w:r>
        <w:rPr>
          <w:rFonts w:ascii="Courier New" w:hAnsi="Courier New"/>
          <w:color w:val="A855F7"/>
          <w:sz w:val="19"/>
        </w:rPr>
        <w:t>aggregated/top</w:t>
      </w:r>
      <w:r>
        <w:rPr>
          <w:rFonts w:ascii="Arial" w:hAnsi="Arial"/>
          <w:color w:val="1E293B"/>
          <w:sz w:val="21"/>
        </w:rPr>
        <w:t xml:space="preserve"> schemas defined </w:t>
      </w:r>
      <w:r>
        <w:rPr>
          <w:rFonts w:ascii="Courier New" w:hAnsi="Courier New"/>
          <w:color w:val="A855F7"/>
          <w:sz w:val="19"/>
        </w:rPr>
        <w:t>metric</w:t>
      </w:r>
      <w:r>
        <w:rPr>
          <w:rFonts w:ascii="Arial" w:hAnsi="Arial"/>
          <w:color w:val="1E293B"/>
          <w:sz w:val="21"/>
        </w:rPr>
        <w:t xml:space="preserve"> as a single dictionary, while </w:t>
      </w:r>
      <w:r>
        <w:rPr>
          <w:rFonts w:ascii="Courier New" w:hAnsi="Courier New"/>
          <w:color w:val="A855F7"/>
          <w:sz w:val="19"/>
        </w:rPr>
        <w:t>map</w:t>
      </w:r>
      <w:r>
        <w:rPr>
          <w:rFonts w:ascii="Arial" w:hAnsi="Arial"/>
          <w:color w:val="1E293B"/>
          <w:sz w:val="21"/>
        </w:rPr>
        <w:t xml:space="preserve"> schemas stored it as a single-element list (</w:t>
      </w:r>
      <w:r>
        <w:rPr>
          <w:rFonts w:ascii="Courier New" w:hAnsi="Courier New"/>
          <w:color w:val="A855F7"/>
          <w:sz w:val="19"/>
        </w:rPr>
        <w:t>[{'count': X, 'amount': Y}]</w:t>
      </w:r>
      <w:r>
        <w:rPr>
          <w:rFonts w:ascii="Arial" w:hAnsi="Arial"/>
          <w:color w:val="1E293B"/>
          <w:sz w:val="21"/>
        </w:rPr>
        <w:t xml:space="preserve">). A helper function </w:t>
      </w:r>
      <w:r>
        <w:rPr>
          <w:rFonts w:ascii="Courier New" w:hAnsi="Courier New"/>
          <w:color w:val="A855F7"/>
          <w:sz w:val="19"/>
        </w:rPr>
        <w:t>_safe_metric()</w:t>
      </w:r>
      <w:r>
        <w:rPr>
          <w:rFonts w:ascii="Arial" w:hAnsi="Arial"/>
          <w:color w:val="1E293B"/>
          <w:sz w:val="21"/>
        </w:rPr>
        <w:t xml:space="preserve"> was added to safely parse both formats without throwing errors.</w:t>
      </w:r>
    </w:p>
    <w:p>
      <w:pPr>
        <w:spacing w:after="100" w:line="276" w:lineRule="auto"/>
      </w:pPr>
      <w:r>
        <w:rPr>
          <w:rFonts w:ascii="Arial" w:hAnsi="Arial"/>
          <w:b/>
          <w:color w:val="1E293B"/>
          <w:sz w:val="21"/>
        </w:rPr>
        <w:t>2. Map User Schema Parsing</w:t>
      </w:r>
      <w:r>
        <w:rPr>
          <w:rFonts w:ascii="Arial" w:hAnsi="Arial"/>
          <w:color w:val="1E293B"/>
          <w:sz w:val="21"/>
        </w:rPr>
        <w:t xml:space="preserve">: In </w:t>
      </w:r>
      <w:r>
        <w:rPr>
          <w:rFonts w:ascii="Courier New" w:hAnsi="Courier New"/>
          <w:color w:val="A855F7"/>
          <w:sz w:val="19"/>
        </w:rPr>
        <w:t>map_user</w:t>
      </w:r>
      <w:r>
        <w:rPr>
          <w:rFonts w:ascii="Arial" w:hAnsi="Arial"/>
          <w:color w:val="1E293B"/>
          <w:sz w:val="21"/>
        </w:rPr>
        <w:t xml:space="preserve"> files, </w:t>
      </w:r>
      <w:r>
        <w:rPr>
          <w:rFonts w:ascii="Courier New" w:hAnsi="Courier New"/>
          <w:color w:val="A855F7"/>
          <w:sz w:val="19"/>
        </w:rPr>
        <w:t>hoverData</w:t>
      </w:r>
      <w:r>
        <w:rPr>
          <w:rFonts w:ascii="Arial" w:hAnsi="Arial"/>
          <w:color w:val="1E293B"/>
          <w:sz w:val="21"/>
        </w:rPr>
        <w:t xml:space="preserve"> was a nested dictionary (</w:t>
      </w:r>
      <w:r>
        <w:rPr>
          <w:rFonts w:ascii="Courier New" w:hAnsi="Courier New"/>
          <w:color w:val="A855F7"/>
          <w:sz w:val="19"/>
        </w:rPr>
        <w:t>{district: {registeredUsers, appOpens}}</w:t>
      </w:r>
      <w:r>
        <w:rPr>
          <w:rFonts w:ascii="Arial" w:hAnsi="Arial"/>
          <w:color w:val="1E293B"/>
          <w:sz w:val="21"/>
        </w:rPr>
        <w:t>), while the baseline extraction logic mistakenly parsed it as a list. The code was rewritten to iterate keys, stabilizing the user geo-map pipeline.</w:t>
      </w:r>
    </w:p>
    <w:p>
      <w:pPr>
        <w:spacing w:after="100" w:line="276" w:lineRule="auto"/>
      </w:pPr>
      <w:r>
        <w:rPr>
          <w:rFonts w:ascii="Arial" w:hAnsi="Arial"/>
          <w:b/>
          <w:color w:val="1E293B"/>
          <w:sz w:val="21"/>
        </w:rPr>
        <w:t>3. State Name Normalization for GeoJSON Mapping</w:t>
      </w:r>
      <w:r>
        <w:rPr>
          <w:rFonts w:ascii="Arial" w:hAnsi="Arial"/>
          <w:color w:val="1E293B"/>
          <w:sz w:val="21"/>
        </w:rPr>
        <w:t xml:space="preserve">: Raw directories used slug formatting (e.g. </w:t>
      </w:r>
      <w:r>
        <w:rPr>
          <w:rFonts w:ascii="Courier New" w:hAnsi="Courier New"/>
          <w:color w:val="A855F7"/>
          <w:sz w:val="19"/>
        </w:rPr>
        <w:t>andaman-&amp;-nicobar-islands</w:t>
      </w:r>
      <w:r>
        <w:rPr>
          <w:rFonts w:ascii="Arial" w:hAnsi="Arial"/>
          <w:color w:val="1E293B"/>
          <w:sz w:val="21"/>
        </w:rPr>
        <w:t xml:space="preserve">), causing choropleth maps to display blank states due to key mismatches in India GeoJSON definitions. The formatting helper converts slugs to standard Title Case (e.g. </w:t>
      </w:r>
      <w:r>
        <w:rPr>
          <w:rFonts w:ascii="Courier New" w:hAnsi="Courier New"/>
          <w:color w:val="A855F7"/>
          <w:sz w:val="19"/>
        </w:rPr>
        <w:t>Andaman &amp; Nicobar Islands</w:t>
      </w:r>
      <w:r>
        <w:rPr>
          <w:rFonts w:ascii="Arial" w:hAnsi="Arial"/>
          <w:color w:val="1E293B"/>
          <w:sz w:val="21"/>
        </w:rPr>
        <w:t>).</w:t>
      </w:r>
    </w:p>
    <w:p>
      <w:pPr>
        <w:spacing w:after="100" w:line="276" w:lineRule="auto"/>
      </w:pPr>
      <w:r>
        <w:rPr>
          <w:rFonts w:ascii="Arial" w:hAnsi="Arial"/>
          <w:b/>
          <w:color w:val="1E293B"/>
          <w:sz w:val="21"/>
        </w:rPr>
        <w:t>4. Memory Caching &amp; Database Performance</w:t>
      </w:r>
      <w:r>
        <w:rPr>
          <w:rFonts w:ascii="Arial" w:hAnsi="Arial"/>
          <w:color w:val="1E293B"/>
          <w:sz w:val="21"/>
        </w:rPr>
        <w:t xml:space="preserve">: Replaced deprecated </w:t>
      </w:r>
      <w:r>
        <w:rPr>
          <w:rFonts w:ascii="Courier New" w:hAnsi="Courier New"/>
          <w:color w:val="A855F7"/>
          <w:sz w:val="19"/>
        </w:rPr>
        <w:t>@st.cache_resource</w:t>
      </w:r>
      <w:r>
        <w:rPr>
          <w:rFonts w:ascii="Arial" w:hAnsi="Arial"/>
          <w:color w:val="1E293B"/>
          <w:sz w:val="21"/>
        </w:rPr>
        <w:t xml:space="preserve"> decorators with </w:t>
      </w:r>
      <w:r>
        <w:rPr>
          <w:rFonts w:ascii="Courier New" w:hAnsi="Courier New"/>
          <w:color w:val="A855F7"/>
          <w:sz w:val="19"/>
        </w:rPr>
        <w:t>@st.cache_data(show_spinner=False)</w:t>
      </w:r>
      <w:r>
        <w:rPr>
          <w:rFonts w:ascii="Arial" w:hAnsi="Arial"/>
          <w:color w:val="1E293B"/>
          <w:sz w:val="21"/>
        </w:rPr>
        <w:t xml:space="preserve"> to prevent connection locking and improve multi-threaded query execution speeds.</w:t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5F259F"/>
          <w:sz w:val="36"/>
        </w:rPr>
        <w:t>6. Setup and Operational Guide</w:t>
      </w:r>
    </w:p>
    <w:p>
      <w:pPr>
        <w:spacing w:after="100" w:line="276" w:lineRule="auto"/>
      </w:pPr>
      <w:r>
        <w:rPr>
          <w:rFonts w:ascii="Arial" w:hAnsi="Arial"/>
          <w:color w:val="1E293B"/>
          <w:sz w:val="21"/>
        </w:rPr>
        <w:t>To run the application locally, follow these commands:</w:t>
      </w:r>
    </w:p>
    <w:p>
      <w:pPr>
        <w:spacing w:after="100" w:line="276" w:lineRule="auto"/>
      </w:pPr>
      <w:r>
        <w:rPr>
          <w:rFonts w:ascii="Arial" w:hAnsi="Arial"/>
          <w:b/>
          <w:color w:val="1E293B"/>
          <w:sz w:val="21"/>
        </w:rPr>
        <w:t>Step 1: Install Python Dependencies</w:t>
      </w:r>
    </w:p>
    <w:p>
      <w:pPr>
        <w:spacing w:before="120" w:after="120" w:line="240" w:lineRule="auto"/>
        <w:ind w:left="576"/>
        <w:shd w:fill="F1F5F9"/>
        <w:pBdr>
          <w:left w:val="single" w:sz="18" w:space="8" w:color="5F259F"/>
        </w:pBdr>
      </w:pPr>
      <w:r>
        <w:rPr>
          <w:rFonts w:ascii="Courier New" w:hAnsi="Courier New"/>
          <w:color w:val="334155"/>
          <w:sz w:val="18"/>
        </w:rPr>
        <w:t>pip install streamlit pandas plotly-express python-docx</w:t>
      </w:r>
    </w:p>
    <w:p>
      <w:pPr>
        <w:spacing w:after="100" w:line="276" w:lineRule="auto"/>
      </w:pPr>
      <w:r>
        <w:rPr>
          <w:rFonts w:ascii="Arial" w:hAnsi="Arial"/>
          <w:b/>
          <w:color w:val="1E293B"/>
          <w:sz w:val="21"/>
        </w:rPr>
        <w:t>Step 2: Clone the Data Repository</w:t>
      </w:r>
    </w:p>
    <w:p>
      <w:pPr>
        <w:spacing w:before="120" w:after="120" w:line="240" w:lineRule="auto"/>
        <w:ind w:left="576"/>
        <w:shd w:fill="F1F5F9"/>
        <w:pBdr>
          <w:left w:val="single" w:sz="18" w:space="8" w:color="5F259F"/>
        </w:pBdr>
      </w:pPr>
      <w:r>
        <w:rPr>
          <w:rFonts w:ascii="Courier New" w:hAnsi="Courier New"/>
          <w:color w:val="334155"/>
          <w:sz w:val="18"/>
        </w:rPr>
        <w:t>git clone https://github.com/PhonePe/pulse.git</w:t>
      </w:r>
    </w:p>
    <w:p>
      <w:pPr>
        <w:spacing w:after="100" w:line="276" w:lineRule="auto"/>
      </w:pPr>
      <w:r>
        <w:rPr>
          <w:rFonts w:ascii="Arial" w:hAnsi="Arial"/>
          <w:b/>
          <w:color w:val="1E293B"/>
          <w:sz w:val="21"/>
        </w:rPr>
        <w:t>Step 3: Run the Streamlit Application</w:t>
      </w:r>
    </w:p>
    <w:p>
      <w:pPr>
        <w:spacing w:before="120" w:after="120" w:line="240" w:lineRule="auto"/>
        <w:ind w:left="576"/>
        <w:shd w:fill="F1F5F9"/>
        <w:pBdr>
          <w:left w:val="single" w:sz="18" w:space="8" w:color="5F259F"/>
        </w:pBdr>
      </w:pPr>
      <w:r>
        <w:rPr>
          <w:rFonts w:ascii="Courier New" w:hAnsi="Courier New"/>
          <w:color w:val="334155"/>
          <w:sz w:val="18"/>
        </w:rPr>
        <w:t>streamlit run app.py</w:t>
      </w:r>
    </w:p>
    <w:p>
      <w:pPr>
        <w:spacing w:before="120" w:after="120" w:line="276" w:lineRule="auto"/>
        <w:ind w:left="576"/>
        <w:shd w:fill="F5F3FF"/>
        <w:pBdr>
          <w:left w:val="single" w:sz="24" w:space="8" w:color="8B5CF6"/>
        </w:pBdr>
      </w:pPr>
      <w:r>
        <w:rPr>
          <w:rFonts w:ascii="Arial" w:hAnsi="Arial"/>
          <w:b/>
          <w:color w:val="5F259F"/>
          <w:sz w:val="20"/>
        </w:rPr>
        <w:t xml:space="preserve">PATH TROUBLESHOOTING TIP: </w:t>
      </w:r>
      <w:r>
        <w:rPr>
          <w:rFonts w:ascii="Arial" w:hAnsi="Arial"/>
          <w:color w:val="475569"/>
          <w:sz w:val="20"/>
        </w:rPr>
        <w:t>If you run into path errors, edit the `PULSE_ROOT` variable in `app.py` or use the 'Re-extract Data' button in the sidebar to rebuild the database automatically.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