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Insights Derived from K-Means Clustering on College Data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we have clustered the colleges using K-Means, we can analyze the characteristics of each cluster to derive meaningful insights.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Summary Statistics of Clusters: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930589" cy="2741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589" cy="274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0: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represent the colleges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lower Acceptance 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be the colleges,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less tuition fees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high Student Faculty Ratio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May include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colleges,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higher Graduation Rate and expensive tuition and lower Student Faculty Ratio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May include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colleges,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Cluster Size Distribution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47963" cy="17418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74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suggests many colleges share similar characteristics.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Visualizing Cluster Differences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09916" cy="36307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916" cy="363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helps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which features contribute most to clustering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clusters overlap significantly, it may indicate the need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features or different clustering methods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hierarchical clustering).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Identifying Representative Colleges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59767" cy="46339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767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understand which specific colleges belong to each cluster and validate the model.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compare against known rankings to verify logical grouping.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Which colleges have similar academic standards?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Clusters can group colleges based on performance metrics.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How does affordability vary?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Tuition fees can differentiate premium vs. budget-friendly institutions.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Who should target which colleges?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Helps students understand which group of colleges fits their academic profile.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clustering method transforms raw college data into actionable insights for students, policymakers, and administrators!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