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ptos Display" w:hAnsi="Aptos Display"/>
          <w:b/>
          <w:color w:val="594052"/>
          <w:sz w:val="84"/>
        </w:rPr>
        <w:t>NAARI</w:t>
      </w:r>
    </w:p>
    <w:p>
      <w:pPr>
        <w:jc w:val="center"/>
      </w:pPr>
      <w:r>
        <w:rPr>
          <w:color w:val="76556F"/>
          <w:sz w:val="38"/>
        </w:rPr>
        <w:t>PCOS Digital Twin for Clinicians</w:t>
      </w:r>
    </w:p>
    <w:p>
      <w:pPr>
        <w:jc w:val="center"/>
      </w:pPr>
      <w:r>
        <w:rPr>
          <w:color w:val="6F6872"/>
          <w:sz w:val="28"/>
        </w:rPr>
        <w:t>Complete Project Guide &amp; Walkthrough</w:t>
      </w:r>
    </w:p>
    <w:p/>
    <w:tbl>
      <w:tblPr>
        <w:tblW w:type="auto" w:w="0"/>
        <w:jc w:val="center"/>
        <w:tblLayout w:type="fixed"/>
        <w:tblLook w:firstColumn="1" w:firstRow="1" w:lastColumn="0" w:lastRow="0" w:noHBand="0" w:noVBand="1" w:val="04A0"/>
      </w:tblPr>
      <w:tblGrid>
        <w:gridCol w:w="10166"/>
      </w:tblGrid>
      <w:tr>
        <w:trPr>
          <w:cantSplit/>
        </w:trPr>
        <w:tc>
          <w:tcPr>
            <w:tcW w:type="dxa" w:w="10166"/>
            <w:shd w:fill="F6EAF0"/>
            <w:tcMar>
              <w:top w:w="140" w:type="dxa"/>
              <w:start w:w="180" w:type="dxa"/>
              <w:bottom w:w="140" w:type="dxa"/>
              <w:end w:w="180" w:type="dxa"/>
            </w:tcMar>
          </w:tcPr>
          <w:p>
            <w:pPr>
              <w:spacing w:after="60"/>
            </w:pPr>
            <w:r/>
            <w:r>
              <w:rPr>
                <w:b/>
                <w:color w:val="594052"/>
                <w:sz w:val="20"/>
              </w:rPr>
              <w:t>What this guide covers</w:t>
            </w:r>
          </w:p>
          <w:p>
            <w:pPr>
              <w:spacing w:after="0" w:line="252" w:lineRule="auto"/>
            </w:pPr>
            <w:r>
              <w:rPr>
                <w:color w:val="302B31"/>
                <w:sz w:val="18"/>
              </w:rPr>
              <w:t>What NAARI is, why it exists, how a user walks through it, what the Digital Twin actually stores, how report extraction and data import work, how the experimental ML model works, how the backend is organised, how to run the application, how to demo it, and how to explain it in a viva.</w:t>
            </w:r>
          </w:p>
        </w:tc>
      </w:tr>
    </w:tbl>
    <w:p>
      <w:pPr>
        <w:spacing w:after="0"/>
      </w:pPr>
    </w:p>
    <w:p/>
    <w:p>
      <w:pPr>
        <w:jc w:val="center"/>
      </w:pPr>
      <w:r>
        <w:rPr>
          <w:i/>
          <w:color w:val="6F6872"/>
          <w:sz w:val="18"/>
        </w:rPr>
        <w:t>Based on the final NAARI source package, README, architecture notes, model card, demo script, and change reports.</w:t>
      </w:r>
    </w:p>
    <w:p/>
    <w:p>
      <w:pPr>
        <w:jc w:val="center"/>
      </w:pPr>
      <w:r>
        <w:rPr>
          <w:b/>
          <w:color w:val="594052"/>
          <w:sz w:val="20"/>
        </w:rPr>
        <w:t>Important: research prototype • seeded demo records are synthetic • not clinically validated</w:t>
      </w:r>
    </w:p>
    <w:p>
      <w:r>
        <w:br w:type="page"/>
      </w:r>
    </w:p>
    <w:p>
      <w:pPr>
        <w:pStyle w:val="Heading1"/>
        <w:keepNext/>
      </w:pPr>
      <w:r>
        <w:t>How to use this guide</w:t>
      </w:r>
    </w:p>
    <w:p>
      <w:r>
        <w:t>Use this as a learning manual, implementation reference, demo script, and viva-preparation document. It starts with simple explanations and gradually goes into code, data structures, and model mechanics. Technical facts below are based on the supplied final source package; where the implementation has a known limitation, it is stated explicitly.</w:t>
      </w:r>
    </w:p>
    <w:p>
      <w:pPr>
        <w:pStyle w:val="Heading2"/>
        <w:keepNext/>
      </w:pPr>
      <w:r>
        <w:t>Contents</w:t>
      </w:r>
    </w:p>
    <w:p>
      <w:pPr>
        <w:pStyle w:val="ListBullet"/>
        <w:spacing w:after="40"/>
      </w:pPr>
      <w:r>
        <w:t>1. NAARI at a glance</w:t>
      </w:r>
    </w:p>
    <w:p>
      <w:pPr>
        <w:pStyle w:val="ListBullet"/>
        <w:spacing w:after="40"/>
      </w:pPr>
      <w:r>
        <w:t>2. The problem, purpose, and core idea</w:t>
      </w:r>
    </w:p>
    <w:p>
      <w:pPr>
        <w:pStyle w:val="ListBullet"/>
        <w:spacing w:after="40"/>
      </w:pPr>
      <w:r>
        <w:t>3. What “Digital Twin” means in this project</w:t>
      </w:r>
    </w:p>
    <w:p>
      <w:pPr>
        <w:pStyle w:val="ListBullet"/>
        <w:spacing w:after="40"/>
      </w:pPr>
      <w:r>
        <w:t>4. Demo patients and data states</w:t>
      </w:r>
    </w:p>
    <w:p>
      <w:pPr>
        <w:pStyle w:val="ListBullet"/>
        <w:spacing w:after="40"/>
      </w:pPr>
      <w:r>
        <w:t>5. Quick start: run the application</w:t>
      </w:r>
    </w:p>
    <w:p>
      <w:pPr>
        <w:pStyle w:val="ListBullet"/>
        <w:spacing w:after="40"/>
      </w:pPr>
      <w:r>
        <w:t>6. Interface walkthrough: every main area</w:t>
      </w:r>
    </w:p>
    <w:p>
      <w:pPr>
        <w:pStyle w:val="ListBullet"/>
        <w:spacing w:after="40"/>
      </w:pPr>
      <w:r>
        <w:t>7. End-to-end workflow: report to Doctor Brief</w:t>
      </w:r>
    </w:p>
    <w:p>
      <w:pPr>
        <w:pStyle w:val="ListBullet"/>
        <w:spacing w:after="40"/>
      </w:pPr>
      <w:r>
        <w:t>8. How the Digital Twin is built and versioned</w:t>
      </w:r>
    </w:p>
    <w:p>
      <w:pPr>
        <w:pStyle w:val="ListBullet"/>
        <w:spacing w:after="40"/>
      </w:pPr>
      <w:r>
        <w:t>9. Machine-learning prediction: task, features, training, metrics</w:t>
      </w:r>
    </w:p>
    <w:p>
      <w:pPr>
        <w:pStyle w:val="ListBullet"/>
        <w:spacing w:after="40"/>
      </w:pPr>
      <w:r>
        <w:t>10. Report extraction and data validation</w:t>
      </w:r>
    </w:p>
    <w:p>
      <w:pPr>
        <w:pStyle w:val="ListBullet"/>
        <w:spacing w:after="40"/>
      </w:pPr>
      <w:r>
        <w:t>11. Doctor Brief: what goes into the export</w:t>
      </w:r>
    </w:p>
    <w:p>
      <w:pPr>
        <w:pStyle w:val="ListBullet"/>
        <w:spacing w:after="40"/>
      </w:pPr>
      <w:r>
        <w:t>12. Technical architecture and project files</w:t>
      </w:r>
    </w:p>
    <w:p>
      <w:pPr>
        <w:pStyle w:val="ListBullet"/>
        <w:spacing w:after="40"/>
      </w:pPr>
      <w:r>
        <w:t>13. Database and API: how components communicate</w:t>
      </w:r>
    </w:p>
    <w:p>
      <w:pPr>
        <w:pStyle w:val="ListBullet"/>
        <w:spacing w:after="40"/>
      </w:pPr>
      <w:r>
        <w:t>14. Safety, privacy, and honest limitations</w:t>
      </w:r>
    </w:p>
    <w:p>
      <w:pPr>
        <w:pStyle w:val="ListBullet"/>
        <w:spacing w:after="40"/>
      </w:pPr>
      <w:r>
        <w:t>15. Testing and verification</w:t>
      </w:r>
    </w:p>
    <w:p>
      <w:pPr>
        <w:pStyle w:val="ListBullet"/>
        <w:spacing w:after="40"/>
      </w:pPr>
      <w:r>
        <w:t>16. A practical 15–20 minute demo script</w:t>
      </w:r>
    </w:p>
    <w:p>
      <w:pPr>
        <w:pStyle w:val="ListBullet"/>
        <w:spacing w:after="40"/>
      </w:pPr>
      <w:r>
        <w:t>17. Viva questions and clear answers</w:t>
      </w:r>
    </w:p>
    <w:p>
      <w:pPr>
        <w:pStyle w:val="ListBullet"/>
        <w:spacing w:after="40"/>
      </w:pPr>
      <w:r>
        <w:t>18. Glossary and key takeaways</w:t>
      </w:r>
    </w:p>
    <w:p>
      <w:pPr>
        <w:pStyle w:val="ListBullet"/>
      </w:pPr>
      <w:r>
        <w:t>Appendix A. Menstrual-cycle estimate versus ML</w:t>
      </w:r>
    </w:p>
    <w:p>
      <w:pPr>
        <w:pStyle w:val="ListBullet"/>
      </w:pPr>
      <w:r>
        <w:t>Appendix B. Real-world datasets: access, fit, and responsible use</w:t>
      </w:r>
    </w:p>
    <w:p>
      <w:pPr>
        <w:pStyle w:val="Heading2"/>
        <w:keepNext/>
      </w:pPr>
      <w:r>
        <w:t>One-paragraph explanation</w:t>
      </w:r>
    </w:p>
    <w:tbl>
      <w:tblPr>
        <w:tblW w:type="auto" w:w="0"/>
        <w:jc w:val="center"/>
        <w:tblLayout w:type="fixed"/>
        <w:tblLook w:firstColumn="1" w:firstRow="1" w:lastColumn="0" w:lastRow="0" w:noHBand="0" w:noVBand="1" w:val="04A0"/>
      </w:tblPr>
      <w:tblGrid>
        <w:gridCol w:w="10166"/>
      </w:tblGrid>
      <w:tr>
        <w:trPr>
          <w:cantSplit/>
        </w:trPr>
        <w:tc>
          <w:tcPr>
            <w:tcW w:type="dxa" w:w="10166"/>
            <w:shd w:fill="E9E2F0"/>
            <w:tcMar>
              <w:top w:w="140" w:type="dxa"/>
              <w:start w:w="180" w:type="dxa"/>
              <w:bottom w:w="140" w:type="dxa"/>
              <w:end w:w="180" w:type="dxa"/>
            </w:tcMar>
          </w:tcPr>
          <w:p>
            <w:pPr>
              <w:spacing w:after="60"/>
            </w:pPr>
            <w:r/>
            <w:r>
              <w:rPr>
                <w:b/>
                <w:color w:val="594052"/>
                <w:sz w:val="20"/>
              </w:rPr>
              <w:t>Plain-language summary</w:t>
            </w:r>
          </w:p>
          <w:p>
            <w:pPr>
              <w:spacing w:after="0" w:line="252" w:lineRule="auto"/>
            </w:pPr>
            <w:r>
              <w:rPr>
                <w:color w:val="302B31"/>
                <w:sz w:val="18"/>
              </w:rPr>
              <w:t>NAARI is a local web application that organizes a fictional PCOS-related patient record. It can extract candidate test values from reports, require a person to review and approve those values, import wearable-style time-series data, save versioned summaries of verified measurements and recent glucose data, and optionally calculate an experimental score for a future glucose excursion. It also provides a patient journey, data-quality context, Twin comparison/replay, and a patient-specific Doctor Brief. The system is a research prototype, not a diagnostic or treatment tool.</w:t>
            </w:r>
          </w:p>
        </w:tc>
      </w:tr>
    </w:tbl>
    <w:p>
      <w:pPr>
        <w:spacing w:after="0"/>
      </w:pPr>
    </w:p>
    <w:p>
      <w:r>
        <w:br w:type="page"/>
      </w:r>
    </w:p>
    <w:p>
      <w:pPr>
        <w:pStyle w:val="Heading2"/>
        <w:keepNext/>
      </w:pPr>
      <w:r>
        <w:t>Quick facts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Item</w:t>
            </w:r>
          </w:p>
        </w:tc>
        <w:tc>
          <w:tcPr>
            <w:tcW w:type="dxa" w:w="8352"/>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What the project actually uses</w:t>
            </w:r>
          </w:p>
        </w:tc>
      </w:tr>
      <w:tr>
        <w:trPr>
          <w:cantSplit/>
        </w:trPr>
        <w:tc>
          <w:tcPr>
            <w:tcW w:type="dxa" w:w="1944"/>
            <w:vAlign w:val="center"/>
            <w:tcMar>
              <w:top w:w="90" w:type="dxa"/>
              <w:start w:w="100" w:type="dxa"/>
              <w:bottom w:w="90" w:type="dxa"/>
              <w:end w:w="100" w:type="dxa"/>
            </w:tcMar>
          </w:tcPr>
          <w:p>
            <w:pPr>
              <w:spacing w:after="0" w:line="240" w:lineRule="auto"/>
            </w:pPr>
            <w:r/>
            <w:r>
              <w:rPr>
                <w:rFonts w:ascii="Aptos" w:hAnsi="Aptos" w:eastAsia="Aptos"/>
                <w:b w:val="0"/>
                <w:color w:val="302B31"/>
                <w:sz w:val="16"/>
              </w:rPr>
              <w:t>Frontend</w:t>
            </w:r>
          </w:p>
        </w:tc>
        <w:tc>
          <w:tcPr>
            <w:tcW w:type="dxa" w:w="8352"/>
            <w:vAlign w:val="center"/>
            <w:tcMar>
              <w:top w:w="90" w:type="dxa"/>
              <w:start w:w="100" w:type="dxa"/>
              <w:bottom w:w="90" w:type="dxa"/>
              <w:end w:w="100" w:type="dxa"/>
            </w:tcMar>
          </w:tcPr>
          <w:p>
            <w:pPr>
              <w:spacing w:after="0" w:line="240" w:lineRule="auto"/>
            </w:pPr>
            <w:r/>
            <w:r>
              <w:rPr>
                <w:rFonts w:ascii="Aptos" w:hAnsi="Aptos" w:eastAsia="Aptos"/>
                <w:b w:val="0"/>
                <w:color w:val="302B31"/>
                <w:sz w:val="16"/>
              </w:rPr>
              <w:t>HTML, CSS and vanilla JavaScript; the main UI code is in `web/index.html` and `web/ui2.js`.</w:t>
            </w:r>
          </w:p>
        </w:tc>
      </w:tr>
      <w:tr>
        <w:trPr>
          <w:cantSplit/>
        </w:trPr>
        <w:tc>
          <w:tcPr>
            <w:tcW w:type="dxa" w:w="194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Backend</w:t>
            </w:r>
          </w:p>
        </w:tc>
        <w:tc>
          <w:tcPr>
            <w:tcW w:type="dxa" w:w="8352"/>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Python standard-library HTTP server with JSON API routes in `naari/server.py`.</w:t>
            </w:r>
          </w:p>
        </w:tc>
      </w:tr>
      <w:tr>
        <w:trPr>
          <w:cantSplit/>
        </w:trPr>
        <w:tc>
          <w:tcPr>
            <w:tcW w:type="dxa" w:w="1944"/>
            <w:vAlign w:val="center"/>
            <w:tcMar>
              <w:top w:w="90" w:type="dxa"/>
              <w:start w:w="100" w:type="dxa"/>
              <w:bottom w:w="90" w:type="dxa"/>
              <w:end w:w="100" w:type="dxa"/>
            </w:tcMar>
          </w:tcPr>
          <w:p>
            <w:pPr>
              <w:spacing w:after="0" w:line="240" w:lineRule="auto"/>
            </w:pPr>
            <w:r/>
            <w:r>
              <w:rPr>
                <w:rFonts w:ascii="Aptos" w:hAnsi="Aptos" w:eastAsia="Aptos"/>
                <w:b w:val="0"/>
                <w:color w:val="302B31"/>
                <w:sz w:val="16"/>
              </w:rPr>
              <w:t>Database</w:t>
            </w:r>
          </w:p>
        </w:tc>
        <w:tc>
          <w:tcPr>
            <w:tcW w:type="dxa" w:w="8352"/>
            <w:vAlign w:val="center"/>
            <w:tcMar>
              <w:top w:w="90" w:type="dxa"/>
              <w:start w:w="100" w:type="dxa"/>
              <w:bottom w:w="90" w:type="dxa"/>
              <w:end w:w="100" w:type="dxa"/>
            </w:tcMar>
          </w:tcPr>
          <w:p>
            <w:pPr>
              <w:spacing w:after="0" w:line="240" w:lineRule="auto"/>
            </w:pPr>
            <w:r/>
            <w:r>
              <w:rPr>
                <w:rFonts w:ascii="Aptos" w:hAnsi="Aptos" w:eastAsia="Aptos"/>
                <w:b w:val="0"/>
                <w:color w:val="302B31"/>
                <w:sz w:val="16"/>
              </w:rPr>
              <w:t>SQLite, with schema and operations in `naari/twin.py` and additional record tables in `naari/records.py`.</w:t>
            </w:r>
          </w:p>
        </w:tc>
      </w:tr>
      <w:tr>
        <w:trPr>
          <w:cantSplit/>
        </w:trPr>
        <w:tc>
          <w:tcPr>
            <w:tcW w:type="dxa" w:w="194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Data processing</w:t>
            </w:r>
          </w:p>
        </w:tc>
        <w:tc>
          <w:tcPr>
            <w:tcW w:type="dxa" w:w="8352"/>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pandas and NumPy for tabular/time-series work; scikit-learn for the model; joblib to load the saved model.</w:t>
            </w:r>
          </w:p>
        </w:tc>
      </w:tr>
      <w:tr>
        <w:trPr>
          <w:cantSplit/>
        </w:trPr>
        <w:tc>
          <w:tcPr>
            <w:tcW w:type="dxa" w:w="1944"/>
            <w:vAlign w:val="center"/>
            <w:tcMar>
              <w:top w:w="90" w:type="dxa"/>
              <w:start w:w="100" w:type="dxa"/>
              <w:bottom w:w="90" w:type="dxa"/>
              <w:end w:w="100" w:type="dxa"/>
            </w:tcMar>
          </w:tcPr>
          <w:p>
            <w:pPr>
              <w:spacing w:after="0" w:line="240" w:lineRule="auto"/>
            </w:pPr>
            <w:r/>
            <w:r>
              <w:rPr>
                <w:rFonts w:ascii="Aptos" w:hAnsi="Aptos" w:eastAsia="Aptos"/>
                <w:b w:val="0"/>
                <w:color w:val="302B31"/>
                <w:sz w:val="16"/>
              </w:rPr>
              <w:t>Report reading</w:t>
            </w:r>
          </w:p>
        </w:tc>
        <w:tc>
          <w:tcPr>
            <w:tcW w:type="dxa" w:w="8352"/>
            <w:vAlign w:val="center"/>
            <w:tcMar>
              <w:top w:w="90" w:type="dxa"/>
              <w:start w:w="100" w:type="dxa"/>
              <w:bottom w:w="90" w:type="dxa"/>
              <w:end w:w="100" w:type="dxa"/>
            </w:tcMar>
          </w:tcPr>
          <w:p>
            <w:pPr>
              <w:spacing w:after="0" w:line="240" w:lineRule="auto"/>
            </w:pPr>
            <w:r/>
            <w:r>
              <w:rPr>
                <w:rFonts w:ascii="Aptos" w:hAnsi="Aptos" w:eastAsia="Aptos"/>
                <w:b w:val="0"/>
                <w:color w:val="302B31"/>
                <w:sz w:val="16"/>
              </w:rPr>
              <w:t>pdfplumber for PDF text and Tesseract OCR/Pillow for scanned images or PDFs needing OCR.</w:t>
            </w:r>
          </w:p>
        </w:tc>
      </w:tr>
      <w:tr>
        <w:trPr>
          <w:cantSplit/>
        </w:trPr>
        <w:tc>
          <w:tcPr>
            <w:tcW w:type="dxa" w:w="194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PDF output</w:t>
            </w:r>
          </w:p>
        </w:tc>
        <w:tc>
          <w:tcPr>
            <w:tcW w:type="dxa" w:w="8352"/>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ReportLab generates the server-side Doctor Brief PDF; the browser print path is also supported.</w:t>
            </w:r>
          </w:p>
        </w:tc>
      </w:tr>
      <w:tr>
        <w:trPr>
          <w:cantSplit/>
        </w:trPr>
        <w:tc>
          <w:tcPr>
            <w:tcW w:type="dxa" w:w="1944"/>
            <w:vAlign w:val="center"/>
            <w:tcMar>
              <w:top w:w="90" w:type="dxa"/>
              <w:start w:w="100" w:type="dxa"/>
              <w:bottom w:w="90" w:type="dxa"/>
              <w:end w:w="100" w:type="dxa"/>
            </w:tcMar>
          </w:tcPr>
          <w:p>
            <w:pPr>
              <w:spacing w:after="0" w:line="240" w:lineRule="auto"/>
            </w:pPr>
            <w:r/>
            <w:r>
              <w:rPr>
                <w:rFonts w:ascii="Aptos" w:hAnsi="Aptos" w:eastAsia="Aptos"/>
                <w:b w:val="0"/>
                <w:color w:val="302B31"/>
                <w:sz w:val="16"/>
              </w:rPr>
              <w:t>Demo data</w:t>
            </w:r>
          </w:p>
        </w:tc>
        <w:tc>
          <w:tcPr>
            <w:tcW w:type="dxa" w:w="8352"/>
            <w:vAlign w:val="center"/>
            <w:tcMar>
              <w:top w:w="90" w:type="dxa"/>
              <w:start w:w="100" w:type="dxa"/>
              <w:bottom w:w="90" w:type="dxa"/>
              <w:end w:w="100" w:type="dxa"/>
            </w:tcMar>
          </w:tcPr>
          <w:p>
            <w:pPr>
              <w:spacing w:after="0" w:line="240" w:lineRule="auto"/>
            </w:pPr>
            <w:r/>
            <w:r>
              <w:rPr>
                <w:rFonts w:ascii="Aptos" w:hAnsi="Aptos" w:eastAsia="Aptos"/>
                <w:b w:val="0"/>
                <w:color w:val="302B31"/>
                <w:sz w:val="16"/>
              </w:rPr>
              <w:t>40 synthetic model-training patients; three named synthetic UI demonstration patients.</w:t>
            </w:r>
          </w:p>
        </w:tc>
      </w:tr>
      <w:tr>
        <w:trPr>
          <w:cantSplit/>
        </w:trPr>
        <w:tc>
          <w:tcPr>
            <w:tcW w:type="dxa" w:w="194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Prediction</w:t>
            </w:r>
          </w:p>
        </w:tc>
        <w:tc>
          <w:tcPr>
            <w:tcW w:type="dxa" w:w="8352"/>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Experimental score for glucose crossing above 180 mg/dL within the next 120 minutes, only when required inputs are available.</w:t>
            </w:r>
          </w:p>
        </w:tc>
      </w:tr>
      <w:tr>
        <w:trPr>
          <w:cantSplit/>
        </w:trPr>
        <w:tc>
          <w:tcPr>
            <w:tcW w:type="dxa" w:w="1944"/>
            <w:vAlign w:val="center"/>
            <w:tcMar>
              <w:top w:w="90" w:type="dxa"/>
              <w:start w:w="100" w:type="dxa"/>
              <w:bottom w:w="90" w:type="dxa"/>
              <w:end w:w="100" w:type="dxa"/>
            </w:tcMar>
          </w:tcPr>
          <w:p>
            <w:pPr>
              <w:spacing w:after="0" w:line="240" w:lineRule="auto"/>
            </w:pPr>
            <w:r/>
            <w:r>
              <w:rPr>
                <w:rFonts w:ascii="Aptos" w:hAnsi="Aptos" w:eastAsia="Aptos"/>
                <w:b w:val="0"/>
                <w:color w:val="302B31"/>
                <w:sz w:val="16"/>
              </w:rPr>
              <w:t>Operating model</w:t>
            </w:r>
          </w:p>
        </w:tc>
        <w:tc>
          <w:tcPr>
            <w:tcW w:type="dxa" w:w="8352"/>
            <w:vAlign w:val="center"/>
            <w:tcMar>
              <w:top w:w="90" w:type="dxa"/>
              <w:start w:w="100" w:type="dxa"/>
              <w:bottom w:w="90" w:type="dxa"/>
              <w:end w:w="100" w:type="dxa"/>
            </w:tcMar>
          </w:tcPr>
          <w:p>
            <w:pPr>
              <w:spacing w:after="0" w:line="240" w:lineRule="auto"/>
            </w:pPr>
            <w:r/>
            <w:r>
              <w:rPr>
                <w:rFonts w:ascii="Aptos" w:hAnsi="Aptos" w:eastAsia="Aptos"/>
                <w:b w:val="0"/>
                <w:color w:val="302B31"/>
                <w:sz w:val="16"/>
              </w:rPr>
              <w:t>Local demo application; no live sensor connection is implemented in this package.</w:t>
            </w:r>
          </w:p>
        </w:tc>
      </w:tr>
    </w:tbl>
    <w:p>
      <w:pPr>
        <w:spacing w:after="0"/>
      </w:pPr>
    </w:p>
    <w:p>
      <w:pPr>
        <w:pStyle w:val="Heading1"/>
        <w:keepNext/>
      </w:pPr>
      <w:r>
        <w:t>1. NAARI at a glance</w:t>
      </w:r>
    </w:p>
    <w:p>
      <w:r>
        <w:t>NAARI is the name of the application; the supplied package describes it as “PCOS Digital Twin for Clinicians.” The source does not specify a separate acronym expansion. The application is designed to bring different kinds of patient information into one inspectable workflow rather than showing them as isolated trackers or tables.</w:t>
      </w:r>
    </w:p>
    <w:p>
      <w:pPr>
        <w:pStyle w:val="Heading2"/>
        <w:keepNext/>
      </w:pPr>
      <w:r>
        <w:t>What a user can do</w:t>
      </w:r>
    </w:p>
    <w:p>
      <w:pPr>
        <w:pStyle w:val="ListBullet"/>
        <w:spacing w:after="40"/>
      </w:pPr>
      <w:r>
        <w:t>Choose a fictional patient and inspect the clinical history and available records.</w:t>
      </w:r>
    </w:p>
    <w:p>
      <w:pPr>
        <w:pStyle w:val="ListBullet"/>
        <w:spacing w:after="40"/>
      </w:pPr>
      <w:r>
        <w:t>Upload a lab report as PDF, PNG/JPG scan, CSV, or JSON; extract candidate fields and review them before they become verified measurements.</w:t>
      </w:r>
    </w:p>
    <w:p>
      <w:pPr>
        <w:pStyle w:val="ListBullet"/>
        <w:spacing w:after="40"/>
      </w:pPr>
      <w:r>
        <w:t>Import physiological time-series files and inspect gaps, duplicate timestamps, invalid timestamps, missing values, and out-of-range readings.</w:t>
      </w:r>
    </w:p>
    <w:p>
      <w:pPr>
        <w:pStyle w:val="ListBullet"/>
        <w:spacing w:after="40"/>
      </w:pPr>
      <w:r>
        <w:t>Create a saved Digital Twin snapshot from verified clinical measurements plus a 14-day glucose summary.</w:t>
      </w:r>
    </w:p>
    <w:p>
      <w:pPr>
        <w:pStyle w:val="ListBullet"/>
        <w:spacing w:after="40"/>
      </w:pPr>
      <w:r>
        <w:t>Compare saved snapshots and read plain-language descriptions of what changed and which source records support the change.</w:t>
      </w:r>
    </w:p>
    <w:p>
      <w:pPr>
        <w:pStyle w:val="ListBullet"/>
        <w:spacing w:after="40"/>
      </w:pPr>
      <w:r>
        <w:t>Run a gated experimental model prediction when the required glucose, heart-rate, steps, and verified HbA1c inputs are present.</w:t>
      </w:r>
    </w:p>
    <w:p>
      <w:pPr>
        <w:pStyle w:val="ListBullet"/>
        <w:spacing w:after="40"/>
      </w:pPr>
      <w:r>
        <w:t>Record an observed outcome only when enough stored CGM readings cover the prediction horizon.</w:t>
      </w:r>
    </w:p>
    <w:p>
      <w:pPr>
        <w:pStyle w:val="ListBullet"/>
        <w:spacing w:after="40"/>
      </w:pPr>
      <w:r>
        <w:t>Review cycle history, patient-reported symptoms, clinical measurements, imported physiology, timeline and data quality.</w:t>
      </w:r>
    </w:p>
    <w:p>
      <w:pPr>
        <w:pStyle w:val="ListBullet"/>
        <w:spacing w:after="40"/>
      </w:pPr>
      <w:r>
        <w:t>Generate a patient-specific Doctor Brief and print or save it as PDF.</w:t>
      </w:r>
    </w:p>
    <w:p>
      <w:pPr>
        <w:pStyle w:val="ListBullet"/>
        <w:spacing w:after="40"/>
      </w:pPr>
      <w:r>
        <w:t>Use the guided demo to see the intended workflow without the tour pretending to perform actions for the user.</w:t>
      </w:r>
    </w:p>
    <w:p>
      <w:pPr>
        <w:pStyle w:val="Heading2"/>
        <w:keepNext/>
      </w:pPr>
      <w:r>
        <w:t>What problem it addresses</w:t>
      </w:r>
    </w:p>
    <w:p>
      <w:r>
        <w:t>Clinical information can be fragmented across reports, manually entered measurements, menstrual-cycle records, symptom logs and physiological time-series. It can be difficult to understand what changed since a previous visit, which values are verified, which records are missing, and where a value came from. NAARI demonstrates one traceable way to organize these sources and expose their limitations.</w:t>
      </w:r>
    </w:p>
    <w:p>
      <w:pPr>
        <w:pStyle w:val="Heading2"/>
        <w:keepNext/>
      </w:pPr>
      <w:r>
        <w:t>The value proposition in one sentence</w:t>
      </w:r>
    </w:p>
    <w:tbl>
      <w:tblPr>
        <w:tblW w:type="auto" w:w="0"/>
        <w:jc w:val="center"/>
        <w:tblLayout w:type="fixed"/>
        <w:tblLook w:firstColumn="1" w:firstRow="1" w:lastColumn="0" w:lastRow="0" w:noHBand="0" w:noVBand="1" w:val="04A0"/>
      </w:tblPr>
      <w:tblGrid>
        <w:gridCol w:w="10166"/>
      </w:tblGrid>
      <w:tr>
        <w:trPr>
          <w:cantSplit/>
        </w:trPr>
        <w:tc>
          <w:tcPr>
            <w:tcW w:type="dxa" w:w="10166"/>
            <w:shd w:fill="E9E2F0"/>
            <w:tcMar>
              <w:top w:w="140" w:type="dxa"/>
              <w:start w:w="180" w:type="dxa"/>
              <w:bottom w:w="140" w:type="dxa"/>
              <w:end w:w="180" w:type="dxa"/>
            </w:tcMar>
          </w:tcPr>
          <w:p>
            <w:pPr>
              <w:spacing w:after="60"/>
            </w:pPr>
            <w:r/>
            <w:r>
              <w:rPr>
                <w:b/>
                <w:color w:val="594052"/>
                <w:sz w:val="20"/>
              </w:rPr>
              <w:t>Project pitch</w:t>
            </w:r>
          </w:p>
          <w:p>
            <w:pPr>
              <w:spacing w:after="0" w:line="252" w:lineRule="auto"/>
            </w:pPr>
            <w:r>
              <w:rPr>
                <w:color w:val="302B31"/>
                <w:sz w:val="18"/>
              </w:rPr>
              <w:t>NAARI turns fragmented synthetic PCOS-related records into a traceable, versioned patient summary, explains how that summary changed, and offers a separately labelled experimental glucose-excursion prediction when input requirements are met.</w:t>
            </w:r>
          </w:p>
        </w:tc>
      </w:tr>
    </w:tbl>
    <w:p>
      <w:pPr>
        <w:spacing w:after="0"/>
      </w:pPr>
    </w:p>
    <w:p>
      <w:pPr>
        <w:pStyle w:val="Heading1"/>
        <w:keepNext/>
      </w:pPr>
      <w:r>
        <w:t>2. The problem, purpose, and core idea</w:t>
      </w:r>
    </w:p>
    <w:p>
      <w:pPr>
        <w:pStyle w:val="Heading2"/>
        <w:keepNext/>
      </w:pPr>
      <w:r>
        <w:t>The problem</w:t>
      </w:r>
    </w:p>
    <w:p>
      <w:r>
        <w:t>A single patient may have a scanned report, older laboratory results, blood-pressure measurements, period dates, symptoms and wearable-style readings. These sources have different formats, dates, units, and levels of reliability. A spreadsheet can store data, but it does not automatically explain which result was verified, what changed in a derived snapshot, or which sources support a displayed value.</w:t>
      </w:r>
    </w:p>
    <w:p>
      <w:pPr>
        <w:pStyle w:val="Heading2"/>
        <w:keepNext/>
      </w:pPr>
      <w:r>
        <w:t>NAARI’s approach</w:t>
      </w:r>
    </w:p>
    <w:p>
      <w:pPr>
        <w:spacing w:after="60"/>
        <w:ind w:left="461" w:hanging="374"/>
      </w:pPr>
      <w:r>
        <w:rPr>
          <w:b/>
        </w:rPr>
        <w:t xml:space="preserve">1. </w:t>
      </w:r>
      <w:r>
        <w:t>Collect: accept a file or use the existing fictional demo records.</w:t>
      </w:r>
    </w:p>
    <w:p>
      <w:pPr>
        <w:spacing w:after="60"/>
        <w:ind w:left="461" w:hanging="374"/>
      </w:pPr>
      <w:r>
        <w:rPr>
          <w:b/>
        </w:rPr>
        <w:t xml:space="preserve">2. </w:t>
      </w:r>
      <w:r>
        <w:t>Extract or parse: read candidate lab fields from a report or columns from a structured file.</w:t>
      </w:r>
    </w:p>
    <w:p>
      <w:pPr>
        <w:spacing w:after="60"/>
        <w:ind w:left="461" w:hanging="374"/>
      </w:pPr>
      <w:r>
        <w:rPr>
          <w:b/>
        </w:rPr>
        <w:t xml:space="preserve">3. </w:t>
      </w:r>
      <w:r>
        <w:t>Review: keep extracted values pending until a clinician/user checks them and approves or rejects them.</w:t>
      </w:r>
    </w:p>
    <w:p>
      <w:pPr>
        <w:spacing w:after="60"/>
        <w:ind w:left="461" w:hanging="374"/>
      </w:pPr>
      <w:r>
        <w:rPr>
          <w:b/>
        </w:rPr>
        <w:t xml:space="preserve">4. </w:t>
      </w:r>
      <w:r>
        <w:t>Validate: inspect timestamps, duplicate records, gaps, missing entries and numeric ranges in imported time-series data.</w:t>
      </w:r>
    </w:p>
    <w:p>
      <w:pPr>
        <w:spacing w:after="60"/>
        <w:ind w:left="461" w:hanging="374"/>
      </w:pPr>
      <w:r>
        <w:rPr>
          <w:b/>
        </w:rPr>
        <w:t xml:space="preserve">5. </w:t>
      </w:r>
      <w:r>
        <w:t>Summarize: combine verified clinical measurements and recent glucose readings into a saved Twin snapshot.</w:t>
      </w:r>
    </w:p>
    <w:p>
      <w:pPr>
        <w:spacing w:after="60"/>
        <w:ind w:left="461" w:hanging="374"/>
      </w:pPr>
      <w:r>
        <w:rPr>
          <w:b/>
        </w:rPr>
        <w:t xml:space="preserve">6. </w:t>
      </w:r>
      <w:r>
        <w:t>Explain: keep snapshot versions, feature-level differences, source records and update reasons.</w:t>
      </w:r>
    </w:p>
    <w:p>
      <w:pPr>
        <w:spacing w:after="60"/>
        <w:ind w:left="461" w:hanging="374"/>
      </w:pPr>
      <w:r>
        <w:rPr>
          <w:b/>
        </w:rPr>
        <w:t xml:space="preserve">7. </w:t>
      </w:r>
      <w:r>
        <w:t>Predict separately: if model inputs pass the gate, calculate an experimental score for a defined future glucose event.</w:t>
      </w:r>
    </w:p>
    <w:p>
      <w:pPr>
        <w:spacing w:after="60"/>
        <w:ind w:left="461" w:hanging="374"/>
      </w:pPr>
      <w:r>
        <w:rPr>
          <w:b/>
        </w:rPr>
        <w:t xml:space="preserve">8. </w:t>
      </w:r>
      <w:r>
        <w:t>Communicate: show the patient story, timeline, data-quality findings, and a Doctor Brief.</w:t>
      </w:r>
    </w:p>
    <w:p>
      <w:pPr>
        <w:pStyle w:val="Heading2"/>
        <w:keepNext/>
      </w:pPr>
      <w:r>
        <w:t>Why traceability matters</w:t>
      </w:r>
    </w:p>
    <w:p>
      <w:r>
        <w:t>A number on a screen is not enough. The application tries to show the patient, date, unit, provenance (where the value came from), approval status, and whether the information was available to the Twin or prediction. A missing value is not treated as a normal value, and an extracted candidate is not treated as verified just because OCR produced it.</w:t>
      </w:r>
    </w:p>
    <w:p>
      <w:pPr>
        <w:pStyle w:val="Heading1"/>
        <w:keepNext/>
      </w:pPr>
      <w:r>
        <w:t>3. What “Digital Twin” means in this project</w:t>
      </w:r>
    </w:p>
    <w:p>
      <w:r>
        <w:t>In general, a Digital Twin is a digital representation of something real or represented through data. In NAARI, it has a narrow, explicit technical meaning: a saved, versioned summary of a patient’s latest verified clinical measurements and a summary of eligible glucose readings from the previous 14 days.</w:t>
      </w:r>
    </w:p>
    <w:p>
      <w:pPr>
        <w:pStyle w:val="Heading2"/>
        <w:keepNext/>
      </w:pPr>
      <w:r>
        <w:t>What the saved Twin includes</w:t>
      </w:r>
    </w:p>
    <w:p>
      <w:pPr>
        <w:pStyle w:val="ListBullet"/>
        <w:spacing w:after="40"/>
      </w:pPr>
      <w:r>
        <w:t>Latest verified measurement per test up to the snapshot time, including its value, unit, date and source record reference.</w:t>
      </w:r>
    </w:p>
    <w:p>
      <w:pPr>
        <w:pStyle w:val="ListBullet"/>
        <w:spacing w:after="40"/>
      </w:pPr>
      <w:r>
        <w:t>A 14-day glucose summary: number of valid glucose readings, mean glucose, percentage between 70 and 180 mg/dL, percentage above 180 mg/dL, and hours since the last valid reading.</w:t>
      </w:r>
    </w:p>
    <w:p>
      <w:pPr>
        <w:pStyle w:val="ListBullet"/>
        <w:spacing w:after="40"/>
      </w:pPr>
      <w:r>
        <w:t>Missing-data notes and warnings, such as absent glucose time-series or stale CGM data.</w:t>
      </w:r>
    </w:p>
    <w:p>
      <w:pPr>
        <w:pStyle w:val="ListBullet"/>
        <w:spacing w:after="40"/>
      </w:pPr>
      <w:r>
        <w:t>Snapshot version, “as of” timestamp, recorded reason, and a list of changed features with old value, new value and source text.</w:t>
      </w:r>
    </w:p>
    <w:p>
      <w:pPr>
        <w:pStyle w:val="Heading2"/>
        <w:keepNext/>
      </w:pPr>
      <w:r>
        <w:t>What the saved Twin does not include</w:t>
      </w:r>
    </w:p>
    <w:p>
      <w:pPr>
        <w:pStyle w:val="ListBullet"/>
        <w:spacing w:after="40"/>
      </w:pPr>
      <w:r>
        <w:t>Menstrual-cycle rows are stored separately and summarized in the Patient Journey; they are not part of the current saved Twin state.</w:t>
      </w:r>
    </w:p>
    <w:p>
      <w:pPr>
        <w:pStyle w:val="ListBullet"/>
        <w:spacing w:after="40"/>
      </w:pPr>
      <w:r>
        <w:t>Symptom logs are stored separately and summarized; they are not part of the current saved Twin state.</w:t>
      </w:r>
    </w:p>
    <w:p>
      <w:pPr>
        <w:pStyle w:val="ListBullet"/>
        <w:spacing w:after="40"/>
      </w:pPr>
      <w:r>
        <w:t>Heart rate and steps are not stored inside the saved Twin snapshot. They are used as inputs for the separate glucose prediction if present.</w:t>
      </w:r>
    </w:p>
    <w:p>
      <w:pPr>
        <w:pStyle w:val="ListBullet"/>
        <w:spacing w:after="40"/>
      </w:pPr>
      <w:r>
        <w:t>The prediction itself is stored in prediction records rather than being a Twin feature or an updated Twin version.</w:t>
      </w:r>
    </w:p>
    <w:tbl>
      <w:tblPr>
        <w:tblW w:type="auto" w:w="0"/>
        <w:jc w:val="center"/>
        <w:tblLayout w:type="fixed"/>
        <w:tblLook w:firstColumn="1" w:firstRow="1" w:lastColumn="0" w:lastRow="0" w:noHBand="0" w:noVBand="1" w:val="04A0"/>
      </w:tblPr>
      <w:tblGrid>
        <w:gridCol w:w="10166"/>
      </w:tblGrid>
      <w:tr>
        <w:trPr>
          <w:cantSplit/>
        </w:trPr>
        <w:tc>
          <w:tcPr>
            <w:tcW w:type="dxa" w:w="10166"/>
            <w:shd w:fill="FBF5EA"/>
            <w:tcMar>
              <w:top w:w="140" w:type="dxa"/>
              <w:start w:w="180" w:type="dxa"/>
              <w:bottom w:w="140" w:type="dxa"/>
              <w:end w:w="180" w:type="dxa"/>
            </w:tcMar>
          </w:tcPr>
          <w:p>
            <w:pPr>
              <w:spacing w:after="60"/>
            </w:pPr>
            <w:r/>
            <w:r>
              <w:rPr>
                <w:b/>
                <w:color w:val="594052"/>
                <w:sz w:val="20"/>
              </w:rPr>
              <w:t>Avoid this overclaim</w:t>
            </w:r>
          </w:p>
          <w:p>
            <w:pPr>
              <w:spacing w:after="0" w:line="252" w:lineRule="auto"/>
            </w:pPr>
            <w:r>
              <w:rPr>
                <w:color w:val="302B31"/>
                <w:sz w:val="18"/>
              </w:rPr>
              <w:t>Do not say “the Twin predicts PCOS progression” or “the model combines cycles, symptoms, glucose, HR and steps into one PCOS score.” The code does not implement that. Say instead: “The saved Twin is a versioned clinical-measurement and glucose-summary state; cycles and symptoms are separate patient-context views, and the experimental prediction is a distinct feature.”</w:t>
            </w:r>
          </w:p>
        </w:tc>
      </w:tr>
    </w:tbl>
    <w:p>
      <w:pPr>
        <w:spacing w:after="0"/>
      </w:pPr>
    </w:p>
    <w:p>
      <w:pPr>
        <w:pStyle w:val="Heading1"/>
        <w:keepNext/>
      </w:pPr>
      <w:r>
        <w:t>4. Demo patients and data states</w:t>
      </w:r>
    </w:p>
    <w:p>
      <w:r>
        <w:t>The interface uses three fictional patient profiles to demonstrate how the same pages behave when records are complete, limited, or absent. IDs are stable internal identifiers; the display names make the demo understandable.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Name / ID</w:t>
            </w:r>
          </w:p>
        </w:tc>
        <w:tc>
          <w:tcPr>
            <w:tcW w:type="dxa" w:w="4320"/>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Seeded state</w:t>
            </w:r>
          </w:p>
        </w:tc>
        <w:tc>
          <w:tcPr>
            <w:tcW w:type="dxa" w:w="4032"/>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What to demonstrate</w:t>
            </w:r>
          </w:p>
        </w:tc>
      </w:tr>
      <w:tr>
        <w:trPr>
          <w:cantSplit/>
        </w:trPr>
        <w:tc>
          <w:tcPr>
            <w:tcW w:type="dxa" w:w="1944"/>
            <w:vAlign w:val="center"/>
            <w:tcMar>
              <w:top w:w="90" w:type="dxa"/>
              <w:start w:w="100" w:type="dxa"/>
              <w:bottom w:w="90" w:type="dxa"/>
              <w:end w:w="100" w:type="dxa"/>
            </w:tcMar>
          </w:tcPr>
          <w:p>
            <w:pPr>
              <w:spacing w:after="0" w:line="240" w:lineRule="auto"/>
            </w:pPr>
            <w:r/>
            <w:r>
              <w:rPr>
                <w:rFonts w:ascii="Aptos" w:hAnsi="Aptos" w:eastAsia="Aptos"/>
                <w:b w:val="0"/>
                <w:color w:val="302B31"/>
                <w:sz w:val="16"/>
              </w:rPr>
              <w:t>Ananya Rao / `SYN-000`</w:t>
            </w:r>
          </w:p>
        </w:tc>
        <w:tc>
          <w:tcPr>
            <w:tcW w:type="dxa" w:w="4320"/>
            <w:vAlign w:val="center"/>
            <w:tcMar>
              <w:top w:w="90" w:type="dxa"/>
              <w:start w:w="100" w:type="dxa"/>
              <w:bottom w:w="90" w:type="dxa"/>
              <w:end w:w="100" w:type="dxa"/>
            </w:tcMar>
          </w:tcPr>
          <w:p>
            <w:pPr>
              <w:spacing w:after="0" w:line="240" w:lineRule="auto"/>
            </w:pPr>
            <w:r/>
            <w:r>
              <w:rPr>
                <w:rFonts w:ascii="Aptos" w:hAnsi="Aptos" w:eastAsia="Aptos"/>
                <w:b w:val="0"/>
                <w:color w:val="302B31"/>
                <w:sz w:val="16"/>
              </w:rPr>
              <w:t>Detailed fictional record: history, 8 period starts, 32 symptom entries, verified clinical measurements, glucose/HR/steps data, and an initial Twin. The full demo can add report-derived measurements and later Twin versions.</w:t>
            </w:r>
          </w:p>
        </w:tc>
        <w:tc>
          <w:tcPr>
            <w:tcW w:type="dxa" w:w="4032"/>
            <w:vAlign w:val="center"/>
            <w:tcMar>
              <w:top w:w="90" w:type="dxa"/>
              <w:start w:w="100" w:type="dxa"/>
              <w:bottom w:w="90" w:type="dxa"/>
              <w:end w:w="100" w:type="dxa"/>
            </w:tcMar>
          </w:tcPr>
          <w:p>
            <w:pPr>
              <w:spacing w:after="0" w:line="240" w:lineRule="auto"/>
            </w:pPr>
            <w:r/>
            <w:r>
              <w:rPr>
                <w:rFonts w:ascii="Aptos" w:hAnsi="Aptos" w:eastAsia="Aptos"/>
                <w:b w:val="0"/>
                <w:color w:val="302B31"/>
                <w:sz w:val="16"/>
              </w:rPr>
              <w:t>Best main walkthrough: report review, measurements, cycle/symptom trends, imported physiology, Twin versions, prediction gate, Doctor Brief.</w:t>
            </w:r>
          </w:p>
        </w:tc>
      </w:tr>
      <w:tr>
        <w:trPr>
          <w:cantSplit/>
        </w:trPr>
        <w:tc>
          <w:tcPr>
            <w:tcW w:type="dxa" w:w="194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Meera Sharma / `SYN-001`</w:t>
            </w:r>
          </w:p>
        </w:tc>
        <w:tc>
          <w:tcPr>
            <w:tcW w:type="dxa" w:w="432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Limited record: one verified testosterone measurement in the initial seed, no wearable time-series, and no saved Twin in the initial state.</w:t>
            </w:r>
          </w:p>
        </w:tc>
        <w:tc>
          <w:tcPr>
            <w:tcW w:type="dxa" w:w="4032"/>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Shows that a record can exist without wearable data or a saved Twin; prediction should be unavailable for missing inputs.</w:t>
            </w:r>
          </w:p>
        </w:tc>
      </w:tr>
      <w:tr>
        <w:trPr>
          <w:cantSplit/>
        </w:trPr>
        <w:tc>
          <w:tcPr>
            <w:tcW w:type="dxa" w:w="1944"/>
            <w:vAlign w:val="center"/>
            <w:tcMar>
              <w:top w:w="90" w:type="dxa"/>
              <w:start w:w="100" w:type="dxa"/>
              <w:bottom w:w="90" w:type="dxa"/>
              <w:end w:w="100" w:type="dxa"/>
            </w:tcMar>
          </w:tcPr>
          <w:p>
            <w:pPr>
              <w:spacing w:after="0" w:line="240" w:lineRule="auto"/>
            </w:pPr>
            <w:r/>
            <w:r>
              <w:rPr>
                <w:rFonts w:ascii="Aptos" w:hAnsi="Aptos" w:eastAsia="Aptos"/>
                <w:b w:val="0"/>
                <w:color w:val="302B31"/>
                <w:sz w:val="16"/>
              </w:rPr>
              <w:t>Kavya Reddy / `SYN-002`</w:t>
            </w:r>
          </w:p>
        </w:tc>
        <w:tc>
          <w:tcPr>
            <w:tcW w:type="dxa" w:w="4320"/>
            <w:vAlign w:val="center"/>
            <w:tcMar>
              <w:top w:w="90" w:type="dxa"/>
              <w:start w:w="100" w:type="dxa"/>
              <w:bottom w:w="90" w:type="dxa"/>
              <w:end w:w="100" w:type="dxa"/>
            </w:tcMar>
          </w:tcPr>
          <w:p>
            <w:pPr>
              <w:spacing w:after="0" w:line="240" w:lineRule="auto"/>
            </w:pPr>
            <w:r/>
            <w:r>
              <w:rPr>
                <w:rFonts w:ascii="Aptos" w:hAnsi="Aptos" w:eastAsia="Aptos"/>
                <w:b w:val="0"/>
                <w:color w:val="302B31"/>
                <w:sz w:val="16"/>
              </w:rPr>
              <w:t>Empty initial clinical record with no verified measurements, cycle entries, symptoms or Twin.</w:t>
            </w:r>
          </w:p>
        </w:tc>
        <w:tc>
          <w:tcPr>
            <w:tcW w:type="dxa" w:w="4032"/>
            <w:vAlign w:val="center"/>
            <w:tcMar>
              <w:top w:w="90" w:type="dxa"/>
              <w:start w:w="100" w:type="dxa"/>
              <w:bottom w:w="90" w:type="dxa"/>
              <w:end w:w="100" w:type="dxa"/>
            </w:tcMar>
          </w:tcPr>
          <w:p>
            <w:pPr>
              <w:spacing w:after="0" w:line="240" w:lineRule="auto"/>
            </w:pPr>
            <w:r/>
            <w:r>
              <w:rPr>
                <w:rFonts w:ascii="Aptos" w:hAnsi="Aptos" w:eastAsia="Aptos"/>
                <w:b w:val="0"/>
                <w:color w:val="302B31"/>
                <w:sz w:val="16"/>
              </w:rPr>
              <w:t>Shows explicit empty states. The interface must not fabricate values or imply that data exists.</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F6EAF0"/>
            <w:tcMar>
              <w:top w:w="140" w:type="dxa"/>
              <w:start w:w="180" w:type="dxa"/>
              <w:bottom w:w="140" w:type="dxa"/>
              <w:end w:w="180" w:type="dxa"/>
            </w:tcMar>
          </w:tcPr>
          <w:p>
            <w:pPr>
              <w:spacing w:after="60"/>
            </w:pPr>
            <w:r/>
            <w:r>
              <w:rPr>
                <w:b/>
                <w:color w:val="594052"/>
                <w:sz w:val="20"/>
              </w:rPr>
              <w:t>Two states are easy to confuse</w:t>
            </w:r>
          </w:p>
          <w:p>
            <w:pPr>
              <w:spacing w:after="0" w:line="252" w:lineRule="auto"/>
            </w:pPr>
            <w:r>
              <w:rPr>
                <w:color w:val="302B31"/>
                <w:sz w:val="18"/>
              </w:rPr>
              <w:t>The “initial seed” is not the same as the “snapshot after the complete demo.” The HTML preview can embed a later state after report approval and a sample time-series import. Therefore, Ananya may show more measurements and a later Twin version in the preview than immediately after resetting the live database. This is expected if the preview was built after the demo sequence.</w:t>
            </w:r>
          </w:p>
        </w:tc>
      </w:tr>
    </w:tbl>
    <w:p>
      <w:pPr>
        <w:spacing w:after="0"/>
      </w:pPr>
    </w:p>
    <w:p>
      <w:pPr>
        <w:pStyle w:val="Heading2"/>
        <w:keepNext/>
      </w:pPr>
      <w:r>
        <w:t>Synthetic model-training data versus demo personas</w:t>
      </w:r>
    </w:p>
    <w:p>
      <w:r>
        <w:t>The machine-learning generator creates 40 synthetic patients (`SYN-000` to `SYN-039`) with 14 days of five-minute glucose, heart-rate and steps samples. The UI seed focuses on three named patients. These are two related but distinct demo layers: the 40-patient dataset is used to train/evaluate the model; the three named profiles support the clinician interface walkthrough.</w:t>
      </w:r>
    </w:p>
    <w:p>
      <w:pPr>
        <w:pStyle w:val="Heading1"/>
        <w:keepNext/>
      </w:pPr>
      <w:r>
        <w:t>5. Quick start: run the application</w:t>
      </w:r>
    </w:p>
    <w:tbl>
      <w:tblPr>
        <w:tblW w:type="auto" w:w="0"/>
        <w:jc w:val="center"/>
        <w:tblLayout w:type="fixed"/>
        <w:tblLook w:firstColumn="1" w:firstRow="1" w:lastColumn="0" w:lastRow="0" w:noHBand="0" w:noVBand="1" w:val="04A0"/>
      </w:tblPr>
      <w:tblGrid>
        <w:gridCol w:w="10166"/>
      </w:tblGrid>
      <w:tr>
        <w:trPr>
          <w:cantSplit/>
        </w:trPr>
        <w:tc>
          <w:tcPr>
            <w:tcW w:type="dxa" w:w="10166"/>
            <w:shd w:fill="E9E2F0"/>
            <w:tcMar>
              <w:top w:w="140" w:type="dxa"/>
              <w:start w:w="180" w:type="dxa"/>
              <w:bottom w:w="140" w:type="dxa"/>
              <w:end w:w="180" w:type="dxa"/>
            </w:tcMar>
          </w:tcPr>
          <w:p>
            <w:pPr>
              <w:spacing w:after="60"/>
            </w:pPr>
            <w:r/>
            <w:r>
              <w:rPr>
                <w:b/>
                <w:color w:val="594052"/>
                <w:sz w:val="20"/>
              </w:rPr>
              <w:t>Important difference</w:t>
            </w:r>
          </w:p>
          <w:p>
            <w:pPr>
              <w:spacing w:after="0" w:line="252" w:lineRule="auto"/>
            </w:pPr>
            <w:r>
              <w:rPr>
                <w:color w:val="302B31"/>
                <w:sz w:val="18"/>
              </w:rPr>
              <w:t>Opening the standalone HTML file gives you a read-only preview. Running the Python server gives you the full application with a backend for actual uploads, approvals, imports, Twin updates and stored predictions.</w:t>
            </w:r>
          </w:p>
        </w:tc>
      </w:tr>
    </w:tbl>
    <w:p>
      <w:pPr>
        <w:spacing w:after="0"/>
      </w:pPr>
    </w:p>
    <w:p>
      <w:pPr>
        <w:pStyle w:val="Heading2"/>
        <w:keepNext/>
      </w:pPr>
      <w:r>
        <w:t>Prerequisites</w:t>
      </w:r>
    </w:p>
    <w:p>
      <w:pPr>
        <w:pStyle w:val="ListBullet"/>
        <w:spacing w:after="40"/>
      </w:pPr>
      <w:r>
        <w:t>Python 3.10 or newer (the latest reported test environment used Python 3.12.3).</w:t>
      </w:r>
    </w:p>
    <w:p>
      <w:pPr>
        <w:pStyle w:val="ListBullet"/>
        <w:spacing w:after="40"/>
      </w:pPr>
      <w:r>
        <w:t>The Python dependencies listed in `requirements.txt`.</w:t>
      </w:r>
    </w:p>
    <w:p>
      <w:pPr>
        <w:pStyle w:val="ListBullet"/>
        <w:spacing w:after="40"/>
      </w:pPr>
      <w:r>
        <w:t>Tesseract OCR installed on the system for scanned PNG/JPG images and PDF pages that need OCR.</w:t>
      </w:r>
    </w:p>
    <w:p>
      <w:pPr>
        <w:pStyle w:val="ListBullet"/>
        <w:spacing w:after="40"/>
      </w:pPr>
      <w:r>
        <w:t>A desktop browser such as Chrome or Edge. The final test report specifically verified Chromium, not every browser.</w:t>
      </w:r>
    </w:p>
    <w:p>
      <w:pPr>
        <w:pStyle w:val="Heading2"/>
        <w:keepNext/>
      </w:pPr>
      <w:r>
        <w:t>Run from the project root</w:t>
      </w:r>
    </w:p>
    <w:p>
      <w:r>
        <w:t>Unzip `NAARI_Final_Full_App.zip`. Open a terminal in the inner project folder named `naari`—the folder that contains `README.md`, `requirements.txt`, `web/`, `naari/`, `tests/` and `data/`.</w:t>
      </w:r>
    </w:p>
    <w:tbl>
      <w:tblPr>
        <w:tblW w:type="auto" w:w="0"/>
        <w:tblLook w:firstColumn="1" w:firstRow="1" w:lastColumn="0" w:lastRow="0" w:noHBand="0" w:noVBand="1" w:val="04A0"/>
      </w:tblPr>
      <w:tblGrid>
        <w:gridCol w:w="10166"/>
      </w:tblGrid>
      <w:tr>
        <w:tc>
          <w:tcPr>
            <w:tcW w:type="dxa" w:w="10166"/>
            <w:shd w:fill="F3F0F4"/>
            <w:tcMar>
              <w:top w:w="110" w:type="dxa"/>
              <w:start w:w="140" w:type="dxa"/>
              <w:bottom w:w="110" w:type="dxa"/>
              <w:end w:w="140" w:type="dxa"/>
            </w:tcMar>
          </w:tcPr>
          <w:p>
            <w:pPr>
              <w:pStyle w:val="CodeText"/>
            </w:pPr>
            <w:r/>
            <w:r>
              <w:t>pip install -r requirements.txt</w:t>
            </w:r>
          </w:p>
          <w:p>
            <w:pPr>
              <w:pStyle w:val="CodeText"/>
            </w:pPr>
            <w:r>
              <w:t>python3 -m naari.seed --reset</w:t>
            </w:r>
          </w:p>
          <w:p>
            <w:pPr>
              <w:pStyle w:val="CodeText"/>
            </w:pPr>
            <w:r>
              <w:t>python3 -m naari.server</w:t>
            </w:r>
          </w:p>
        </w:tc>
      </w:tr>
    </w:tbl>
    <w:p>
      <w:pPr>
        <w:spacing w:after="0"/>
      </w:pPr>
    </w:p>
    <w:p>
      <w:r>
        <w:t>Then open `http://127.0.0.1:8000` in the browser and choose “Open Demo Workspace.” The server is configured for a local host and defaults to port 8000. Keep the terminal open while using the full app.</w:t>
      </w:r>
    </w:p>
    <w:p>
      <w:pPr>
        <w:pStyle w:val="Heading2"/>
        <w:keepNext/>
      </w:pPr>
      <w:r>
        <w:t>Windows command alternatives</w:t>
      </w:r>
    </w:p>
    <w:p>
      <w:r>
        <w:t>If `python3` is not recognised on Windows, try `py -3` or `python` in the same commands. Example:</w:t>
      </w:r>
    </w:p>
    <w:tbl>
      <w:tblPr>
        <w:tblW w:type="auto" w:w="0"/>
        <w:tblLook w:firstColumn="1" w:firstRow="1" w:lastColumn="0" w:lastRow="0" w:noHBand="0" w:noVBand="1" w:val="04A0"/>
      </w:tblPr>
      <w:tblGrid>
        <w:gridCol w:w="10166"/>
      </w:tblGrid>
      <w:tr>
        <w:tc>
          <w:tcPr>
            <w:tcW w:type="dxa" w:w="10166"/>
            <w:shd w:fill="F3F0F4"/>
            <w:tcMar>
              <w:top w:w="110" w:type="dxa"/>
              <w:start w:w="140" w:type="dxa"/>
              <w:bottom w:w="110" w:type="dxa"/>
              <w:end w:w="140" w:type="dxa"/>
            </w:tcMar>
          </w:tcPr>
          <w:p>
            <w:pPr>
              <w:pStyle w:val="CodeText"/>
            </w:pPr>
            <w:r/>
            <w:r>
              <w:t>py -3 -m naari.seed --reset</w:t>
            </w:r>
          </w:p>
          <w:p>
            <w:pPr>
              <w:pStyle w:val="CodeText"/>
            </w:pPr>
            <w:r>
              <w:t>py -3 -m naari.server</w:t>
            </w:r>
          </w:p>
        </w:tc>
      </w:tr>
    </w:tbl>
    <w:p>
      <w:pPr>
        <w:spacing w:after="0"/>
      </w:pPr>
    </w:p>
    <w:p>
      <w:pPr>
        <w:pStyle w:val="Heading2"/>
        <w:keepNext/>
      </w:pPr>
      <w:r>
        <w:t>What the commands do</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744"/>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Command</w:t>
            </w:r>
          </w:p>
        </w:tc>
        <w:tc>
          <w:tcPr>
            <w:tcW w:type="dxa" w:w="6480"/>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Purpose</w:t>
            </w:r>
          </w:p>
        </w:tc>
      </w:tr>
      <w:tr>
        <w:trPr>
          <w:cantSplit/>
        </w:trPr>
        <w:tc>
          <w:tcPr>
            <w:tcW w:type="dxa" w:w="3744"/>
            <w:vAlign w:val="center"/>
            <w:tcMar>
              <w:top w:w="90" w:type="dxa"/>
              <w:start w:w="100" w:type="dxa"/>
              <w:bottom w:w="90" w:type="dxa"/>
              <w:end w:w="100" w:type="dxa"/>
            </w:tcMar>
          </w:tcPr>
          <w:p>
            <w:pPr>
              <w:spacing w:after="0" w:line="240" w:lineRule="auto"/>
            </w:pPr>
            <w:r/>
            <w:r>
              <w:rPr>
                <w:rFonts w:ascii="Aptos" w:hAnsi="Aptos" w:eastAsia="Aptos"/>
                <w:b w:val="0"/>
                <w:color w:val="302B31"/>
                <w:sz w:val="16"/>
              </w:rPr>
              <w:t>`pip install -r requirements.txt`</w:t>
            </w:r>
          </w:p>
        </w:tc>
        <w:tc>
          <w:tcPr>
            <w:tcW w:type="dxa" w:w="6480"/>
            <w:vAlign w:val="center"/>
            <w:tcMar>
              <w:top w:w="90" w:type="dxa"/>
              <w:start w:w="100" w:type="dxa"/>
              <w:bottom w:w="90" w:type="dxa"/>
              <w:end w:w="100" w:type="dxa"/>
            </w:tcMar>
          </w:tcPr>
          <w:p>
            <w:pPr>
              <w:spacing w:after="0" w:line="240" w:lineRule="auto"/>
            </w:pPr>
            <w:r/>
            <w:r>
              <w:rPr>
                <w:rFonts w:ascii="Aptos" w:hAnsi="Aptos" w:eastAsia="Aptos"/>
                <w:b w:val="0"/>
                <w:color w:val="302B31"/>
                <w:sz w:val="16"/>
              </w:rPr>
              <w:t>Installs libraries such as pandas, NumPy, scikit-learn, joblib, pdfplumber, pytesseract, Pillow and ReportLab.</w:t>
            </w:r>
          </w:p>
        </w:tc>
      </w:tr>
      <w:tr>
        <w:trPr>
          <w:cantSplit/>
        </w:trPr>
        <w:tc>
          <w:tcPr>
            <w:tcW w:type="dxa" w:w="374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`python3 -m naari.seed --reset`</w:t>
            </w:r>
          </w:p>
        </w:tc>
        <w:tc>
          <w:tcPr>
            <w:tcW w:type="dxa" w:w="648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Recreates the local synthetic demo database and sample files, including report PDF/scan and a new CGM batch. It removes local demo database/uploads, so do not run it on records you need to keep.</w:t>
            </w:r>
          </w:p>
        </w:tc>
      </w:tr>
      <w:tr>
        <w:trPr>
          <w:cantSplit/>
        </w:trPr>
        <w:tc>
          <w:tcPr>
            <w:tcW w:type="dxa" w:w="3744"/>
            <w:vAlign w:val="center"/>
            <w:tcMar>
              <w:top w:w="90" w:type="dxa"/>
              <w:start w:w="100" w:type="dxa"/>
              <w:bottom w:w="90" w:type="dxa"/>
              <w:end w:w="100" w:type="dxa"/>
            </w:tcMar>
          </w:tcPr>
          <w:p>
            <w:pPr>
              <w:spacing w:after="0" w:line="240" w:lineRule="auto"/>
            </w:pPr>
            <w:r/>
            <w:r>
              <w:rPr>
                <w:rFonts w:ascii="Aptos" w:hAnsi="Aptos" w:eastAsia="Aptos"/>
                <w:b w:val="0"/>
                <w:color w:val="302B31"/>
                <w:sz w:val="16"/>
              </w:rPr>
              <w:t>`python3 -m naari.server`</w:t>
            </w:r>
          </w:p>
        </w:tc>
        <w:tc>
          <w:tcPr>
            <w:tcW w:type="dxa" w:w="6480"/>
            <w:vAlign w:val="center"/>
            <w:tcMar>
              <w:top w:w="90" w:type="dxa"/>
              <w:start w:w="100" w:type="dxa"/>
              <w:bottom w:w="90" w:type="dxa"/>
              <w:end w:w="100" w:type="dxa"/>
            </w:tcMar>
          </w:tcPr>
          <w:p>
            <w:pPr>
              <w:spacing w:after="0" w:line="240" w:lineRule="auto"/>
            </w:pPr>
            <w:r/>
            <w:r>
              <w:rPr>
                <w:rFonts w:ascii="Aptos" w:hAnsi="Aptos" w:eastAsia="Aptos"/>
                <w:b w:val="0"/>
                <w:color w:val="302B31"/>
                <w:sz w:val="16"/>
              </w:rPr>
              <w:t>Starts the local Python HTTP server and exposes the web UI plus API routes.</w:t>
            </w:r>
          </w:p>
        </w:tc>
      </w:tr>
      <w:tr>
        <w:trPr>
          <w:cantSplit/>
        </w:trPr>
        <w:tc>
          <w:tcPr>
            <w:tcW w:type="dxa" w:w="374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`http://127.0.0.1:8000`</w:t>
            </w:r>
          </w:p>
        </w:tc>
        <w:tc>
          <w:tcPr>
            <w:tcW w:type="dxa" w:w="648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Local app URL. It is not a public deployment address.</w:t>
            </w:r>
          </w:p>
        </w:tc>
      </w:tr>
    </w:tbl>
    <w:p>
      <w:pPr>
        <w:spacing w:after="0"/>
      </w:pPr>
    </w:p>
    <w:p>
      <w:pPr>
        <w:pStyle w:val="Heading2"/>
        <w:keepNext/>
      </w:pPr>
      <w:r>
        <w:t>Preview versus full application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880"/>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Capability</w:t>
            </w:r>
          </w:p>
        </w:tc>
        <w:tc>
          <w:tcPr>
            <w:tcW w:type="dxa" w:w="3384"/>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Standalone static HTML preview</w:t>
            </w:r>
          </w:p>
        </w:tc>
        <w:tc>
          <w:tcPr>
            <w:tcW w:type="dxa" w:w="3888"/>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Full local app</w:t>
            </w:r>
          </w:p>
        </w:tc>
      </w:tr>
      <w:tr>
        <w:trPr>
          <w:cantSplit/>
        </w:trPr>
        <w:tc>
          <w:tcPr>
            <w:tcW w:type="dxa" w:w="288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Navigate views / switch demo patient</w:t>
            </w:r>
          </w:p>
        </w:tc>
        <w:tc>
          <w:tcPr>
            <w:tcW w:type="dxa" w:w="3384"/>
            <w:vAlign w:val="center"/>
            <w:tcMar>
              <w:top w:w="90" w:type="dxa"/>
              <w:start w:w="100" w:type="dxa"/>
              <w:bottom w:w="90" w:type="dxa"/>
              <w:end w:w="100" w:type="dxa"/>
            </w:tcMar>
          </w:tcPr>
          <w:p>
            <w:pPr>
              <w:spacing w:after="0" w:line="240" w:lineRule="auto"/>
            </w:pPr>
            <w:r/>
            <w:r>
              <w:rPr>
                <w:rFonts w:ascii="Aptos" w:hAnsi="Aptos" w:eastAsia="Aptos"/>
                <w:b w:val="0"/>
                <w:color w:val="302B31"/>
                <w:sz w:val="15"/>
              </w:rPr>
              <w:t>Yes</w:t>
            </w:r>
          </w:p>
        </w:tc>
        <w:tc>
          <w:tcPr>
            <w:tcW w:type="dxa" w:w="3888"/>
            <w:vAlign w:val="center"/>
            <w:tcMar>
              <w:top w:w="90" w:type="dxa"/>
              <w:start w:w="100" w:type="dxa"/>
              <w:bottom w:w="90" w:type="dxa"/>
              <w:end w:w="100" w:type="dxa"/>
            </w:tcMar>
          </w:tcPr>
          <w:p>
            <w:pPr>
              <w:spacing w:after="0" w:line="240" w:lineRule="auto"/>
            </w:pPr>
            <w:r/>
            <w:r>
              <w:rPr>
                <w:rFonts w:ascii="Aptos" w:hAnsi="Aptos" w:eastAsia="Aptos"/>
                <w:b w:val="0"/>
                <w:color w:val="302B31"/>
                <w:sz w:val="15"/>
              </w:rPr>
              <w:t>Yes</w:t>
            </w:r>
          </w:p>
        </w:tc>
      </w:tr>
      <w:tr>
        <w:trPr>
          <w:cantSplit/>
        </w:trPr>
        <w:tc>
          <w:tcPr>
            <w:tcW w:type="dxa" w:w="288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Read embedded example records</w:t>
            </w:r>
          </w:p>
        </w:tc>
        <w:tc>
          <w:tcPr>
            <w:tcW w:type="dxa" w:w="338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Yes</w:t>
            </w:r>
          </w:p>
        </w:tc>
        <w:tc>
          <w:tcPr>
            <w:tcW w:type="dxa" w:w="388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Yes, from current database</w:t>
            </w:r>
          </w:p>
        </w:tc>
      </w:tr>
      <w:tr>
        <w:trPr>
          <w:cantSplit/>
        </w:trPr>
        <w:tc>
          <w:tcPr>
            <w:tcW w:type="dxa" w:w="288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Compare Twin versions / use tour</w:t>
            </w:r>
          </w:p>
        </w:tc>
        <w:tc>
          <w:tcPr>
            <w:tcW w:type="dxa" w:w="3384"/>
            <w:vAlign w:val="center"/>
            <w:tcMar>
              <w:top w:w="90" w:type="dxa"/>
              <w:start w:w="100" w:type="dxa"/>
              <w:bottom w:w="90" w:type="dxa"/>
              <w:end w:w="100" w:type="dxa"/>
            </w:tcMar>
          </w:tcPr>
          <w:p>
            <w:pPr>
              <w:spacing w:after="0" w:line="240" w:lineRule="auto"/>
            </w:pPr>
            <w:r/>
            <w:r>
              <w:rPr>
                <w:rFonts w:ascii="Aptos" w:hAnsi="Aptos" w:eastAsia="Aptos"/>
                <w:b w:val="0"/>
                <w:color w:val="302B31"/>
                <w:sz w:val="15"/>
              </w:rPr>
              <w:t>Yes, from embedded snapshot</w:t>
            </w:r>
          </w:p>
        </w:tc>
        <w:tc>
          <w:tcPr>
            <w:tcW w:type="dxa" w:w="3888"/>
            <w:vAlign w:val="center"/>
            <w:tcMar>
              <w:top w:w="90" w:type="dxa"/>
              <w:start w:w="100" w:type="dxa"/>
              <w:bottom w:w="90" w:type="dxa"/>
              <w:end w:w="100" w:type="dxa"/>
            </w:tcMar>
          </w:tcPr>
          <w:p>
            <w:pPr>
              <w:spacing w:after="0" w:line="240" w:lineRule="auto"/>
            </w:pPr>
            <w:r/>
            <w:r>
              <w:rPr>
                <w:rFonts w:ascii="Aptos" w:hAnsi="Aptos" w:eastAsia="Aptos"/>
                <w:b w:val="0"/>
                <w:color w:val="302B31"/>
                <w:sz w:val="15"/>
              </w:rPr>
              <w:t>Yes, from backend records</w:t>
            </w:r>
          </w:p>
        </w:tc>
      </w:tr>
      <w:tr>
        <w:trPr>
          <w:cantSplit/>
        </w:trPr>
        <w:tc>
          <w:tcPr>
            <w:tcW w:type="dxa" w:w="288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Upload or approve report fields</w:t>
            </w:r>
          </w:p>
        </w:tc>
        <w:tc>
          <w:tcPr>
            <w:tcW w:type="dxa" w:w="338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No; clearly marked unavailable</w:t>
            </w:r>
          </w:p>
        </w:tc>
        <w:tc>
          <w:tcPr>
            <w:tcW w:type="dxa" w:w="388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Yes, with backend validation</w:t>
            </w:r>
          </w:p>
        </w:tc>
      </w:tr>
      <w:tr>
        <w:trPr>
          <w:cantSplit/>
        </w:trPr>
        <w:tc>
          <w:tcPr>
            <w:tcW w:type="dxa" w:w="288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Import time series / save a Twin</w:t>
            </w:r>
          </w:p>
        </w:tc>
        <w:tc>
          <w:tcPr>
            <w:tcW w:type="dxa" w:w="3384"/>
            <w:vAlign w:val="center"/>
            <w:tcMar>
              <w:top w:w="90" w:type="dxa"/>
              <w:start w:w="100" w:type="dxa"/>
              <w:bottom w:w="90" w:type="dxa"/>
              <w:end w:w="100" w:type="dxa"/>
            </w:tcMar>
          </w:tcPr>
          <w:p>
            <w:pPr>
              <w:spacing w:after="0" w:line="240" w:lineRule="auto"/>
            </w:pPr>
            <w:r/>
            <w:r>
              <w:rPr>
                <w:rFonts w:ascii="Aptos" w:hAnsi="Aptos" w:eastAsia="Aptos"/>
                <w:b w:val="0"/>
                <w:color w:val="302B31"/>
                <w:sz w:val="15"/>
              </w:rPr>
              <w:t>No; clearly marked unavailable</w:t>
            </w:r>
          </w:p>
        </w:tc>
        <w:tc>
          <w:tcPr>
            <w:tcW w:type="dxa" w:w="3888"/>
            <w:vAlign w:val="center"/>
            <w:tcMar>
              <w:top w:w="90" w:type="dxa"/>
              <w:start w:w="100" w:type="dxa"/>
              <w:bottom w:w="90" w:type="dxa"/>
              <w:end w:w="100" w:type="dxa"/>
            </w:tcMar>
          </w:tcPr>
          <w:p>
            <w:pPr>
              <w:spacing w:after="0" w:line="240" w:lineRule="auto"/>
            </w:pPr>
            <w:r/>
            <w:r>
              <w:rPr>
                <w:rFonts w:ascii="Aptos" w:hAnsi="Aptos" w:eastAsia="Aptos"/>
                <w:b w:val="0"/>
                <w:color w:val="302B31"/>
                <w:sz w:val="15"/>
              </w:rPr>
              <w:t>Yes</w:t>
            </w:r>
          </w:p>
        </w:tc>
      </w:tr>
      <w:tr>
        <w:trPr>
          <w:cantSplit/>
        </w:trPr>
        <w:tc>
          <w:tcPr>
            <w:tcW w:type="dxa" w:w="288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Run and persist a new prediction</w:t>
            </w:r>
          </w:p>
        </w:tc>
        <w:tc>
          <w:tcPr>
            <w:tcW w:type="dxa" w:w="338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No; can show previously stored snapshot results</w:t>
            </w:r>
          </w:p>
        </w:tc>
        <w:tc>
          <w:tcPr>
            <w:tcW w:type="dxa" w:w="388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Yes, when input gate passes</w:t>
            </w:r>
          </w:p>
        </w:tc>
      </w:tr>
      <w:tr>
        <w:trPr>
          <w:cantSplit/>
        </w:trPr>
        <w:tc>
          <w:tcPr>
            <w:tcW w:type="dxa" w:w="288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Doctor Brief</w:t>
            </w:r>
          </w:p>
        </w:tc>
        <w:tc>
          <w:tcPr>
            <w:tcW w:type="dxa" w:w="3384"/>
            <w:vAlign w:val="center"/>
            <w:tcMar>
              <w:top w:w="90" w:type="dxa"/>
              <w:start w:w="100" w:type="dxa"/>
              <w:bottom w:w="90" w:type="dxa"/>
              <w:end w:w="100" w:type="dxa"/>
            </w:tcMar>
          </w:tcPr>
          <w:p>
            <w:pPr>
              <w:spacing w:after="0" w:line="240" w:lineRule="auto"/>
            </w:pPr>
            <w:r/>
            <w:r>
              <w:rPr>
                <w:rFonts w:ascii="Aptos" w:hAnsi="Aptos" w:eastAsia="Aptos"/>
                <w:b w:val="0"/>
                <w:color w:val="302B31"/>
                <w:sz w:val="15"/>
              </w:rPr>
              <w:t>Prints the preview brief from embedded data</w:t>
            </w:r>
          </w:p>
        </w:tc>
        <w:tc>
          <w:tcPr>
            <w:tcW w:type="dxa" w:w="3888"/>
            <w:vAlign w:val="center"/>
            <w:tcMar>
              <w:top w:w="90" w:type="dxa"/>
              <w:start w:w="100" w:type="dxa"/>
              <w:bottom w:w="90" w:type="dxa"/>
              <w:end w:w="100" w:type="dxa"/>
            </w:tcMar>
          </w:tcPr>
          <w:p>
            <w:pPr>
              <w:spacing w:after="0" w:line="240" w:lineRule="auto"/>
            </w:pPr>
            <w:r/>
            <w:r>
              <w:rPr>
                <w:rFonts w:ascii="Aptos" w:hAnsi="Aptos" w:eastAsia="Aptos"/>
                <w:b w:val="0"/>
                <w:color w:val="302B31"/>
                <w:sz w:val="15"/>
              </w:rPr>
              <w:t>Builds brief from selected patient’s database and supports a server-generated PDF</w:t>
            </w:r>
          </w:p>
        </w:tc>
      </w:tr>
    </w:tbl>
    <w:p>
      <w:pPr>
        <w:spacing w:after="0"/>
      </w:pPr>
    </w:p>
    <w:p>
      <w:r>
        <w:br w:type="page"/>
      </w:r>
    </w:p>
    <w:p>
      <w:pPr>
        <w:pStyle w:val="Heading1"/>
        <w:keepNext/>
      </w:pPr>
      <w:r>
        <w:t>6. Interface walkthrough: every main area</w:t>
      </w:r>
    </w:p>
    <w:p>
      <w:r>
        <w:t>Navigation in the app is grouped into four main destinations. Some destinations contain tabs or views for related records.</w:t>
      </w:r>
    </w:p>
    <w:p>
      <w:pPr>
        <w:pStyle w:val="Heading2"/>
        <w:keepNext/>
      </w:pPr>
      <w:r>
        <w:t>A. Summary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Area</w:t>
            </w:r>
          </w:p>
        </w:tc>
        <w:tc>
          <w:tcPr>
            <w:tcW w:type="dxa" w:w="4464"/>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What it shows</w:t>
            </w:r>
          </w:p>
        </w:tc>
        <w:tc>
          <w:tcPr>
            <w:tcW w:type="dxa" w:w="3960"/>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How to use it</w:t>
            </w:r>
          </w:p>
        </w:tc>
      </w:tr>
      <w:tr>
        <w:trPr>
          <w:cantSplit/>
        </w:trPr>
        <w:tc>
          <w:tcPr>
            <w:tcW w:type="dxa" w:w="1944"/>
            <w:vAlign w:val="center"/>
            <w:tcMar>
              <w:top w:w="90" w:type="dxa"/>
              <w:start w:w="100" w:type="dxa"/>
              <w:bottom w:w="90" w:type="dxa"/>
              <w:end w:w="100" w:type="dxa"/>
            </w:tcMar>
          </w:tcPr>
          <w:p>
            <w:pPr>
              <w:spacing w:after="0" w:line="240" w:lineRule="auto"/>
            </w:pPr>
            <w:r/>
            <w:r>
              <w:rPr>
                <w:rFonts w:ascii="Aptos" w:hAnsi="Aptos" w:eastAsia="Aptos"/>
                <w:b w:val="0"/>
                <w:color w:val="302B31"/>
                <w:sz w:val="16"/>
              </w:rPr>
              <w:t>Overview</w:t>
            </w:r>
          </w:p>
        </w:tc>
        <w:tc>
          <w:tcPr>
            <w:tcW w:type="dxa" w:w="4464"/>
            <w:vAlign w:val="center"/>
            <w:tcMar>
              <w:top w:w="90" w:type="dxa"/>
              <w:start w:w="100" w:type="dxa"/>
              <w:bottom w:w="90" w:type="dxa"/>
              <w:end w:w="100" w:type="dxa"/>
            </w:tcMar>
          </w:tcPr>
          <w:p>
            <w:pPr>
              <w:spacing w:after="0" w:line="240" w:lineRule="auto"/>
            </w:pPr>
            <w:r/>
            <w:r>
              <w:rPr>
                <w:rFonts w:ascii="Aptos" w:hAnsi="Aptos" w:eastAsia="Aptos"/>
                <w:b w:val="0"/>
                <w:color w:val="302B31"/>
                <w:sz w:val="16"/>
              </w:rPr>
              <w:t>Patient summary, quick counts, important context, latest Twin changes and links into relevant sections.</w:t>
            </w:r>
          </w:p>
        </w:tc>
        <w:tc>
          <w:tcPr>
            <w:tcW w:type="dxa" w:w="3960"/>
            <w:vAlign w:val="center"/>
            <w:tcMar>
              <w:top w:w="90" w:type="dxa"/>
              <w:start w:w="100" w:type="dxa"/>
              <w:bottom w:w="90" w:type="dxa"/>
              <w:end w:w="100" w:type="dxa"/>
            </w:tcMar>
          </w:tcPr>
          <w:p>
            <w:pPr>
              <w:spacing w:after="0" w:line="240" w:lineRule="auto"/>
            </w:pPr>
            <w:r/>
            <w:r>
              <w:rPr>
                <w:rFonts w:ascii="Aptos" w:hAnsi="Aptos" w:eastAsia="Aptos"/>
                <w:b w:val="0"/>
                <w:color w:val="302B31"/>
                <w:sz w:val="16"/>
              </w:rPr>
              <w:t>Start here; check the patient name/ID and look at what is present before interpreting anything.</w:t>
            </w:r>
          </w:p>
        </w:tc>
      </w:tr>
      <w:tr>
        <w:trPr>
          <w:cantSplit/>
        </w:trPr>
        <w:tc>
          <w:tcPr>
            <w:tcW w:type="dxa" w:w="194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Patient Journey</w:t>
            </w:r>
          </w:p>
        </w:tc>
        <w:tc>
          <w:tcPr>
            <w:tcW w:type="dxa" w:w="446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Evidence-linked narrative summaries across cycle history, patient-reported symptoms, clinical measurements, physiological data and Twin-related information.</w:t>
            </w:r>
          </w:p>
        </w:tc>
        <w:tc>
          <w:tcPr>
            <w:tcW w:type="dxa" w:w="396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Click through a summary to return to the relevant record view. Observations are descriptive, not a diagnosis.</w:t>
            </w:r>
          </w:p>
        </w:tc>
      </w:tr>
      <w:tr>
        <w:trPr>
          <w:cantSplit/>
        </w:trPr>
        <w:tc>
          <w:tcPr>
            <w:tcW w:type="dxa" w:w="1944"/>
            <w:vAlign w:val="center"/>
            <w:tcMar>
              <w:top w:w="90" w:type="dxa"/>
              <w:start w:w="100" w:type="dxa"/>
              <w:bottom w:w="90" w:type="dxa"/>
              <w:end w:w="100" w:type="dxa"/>
            </w:tcMar>
          </w:tcPr>
          <w:p>
            <w:pPr>
              <w:spacing w:after="0" w:line="240" w:lineRule="auto"/>
            </w:pPr>
            <w:r/>
            <w:r>
              <w:rPr>
                <w:rFonts w:ascii="Aptos" w:hAnsi="Aptos" w:eastAsia="Aptos"/>
                <w:b w:val="0"/>
                <w:color w:val="302B31"/>
                <w:sz w:val="16"/>
              </w:rPr>
              <w:t>Since Last Visit</w:t>
            </w:r>
          </w:p>
        </w:tc>
        <w:tc>
          <w:tcPr>
            <w:tcW w:type="dxa" w:w="4464"/>
            <w:vAlign w:val="center"/>
            <w:tcMar>
              <w:top w:w="90" w:type="dxa"/>
              <w:start w:w="100" w:type="dxa"/>
              <w:bottom w:w="90" w:type="dxa"/>
              <w:end w:w="100" w:type="dxa"/>
            </w:tcMar>
          </w:tcPr>
          <w:p>
            <w:pPr>
              <w:spacing w:after="0" w:line="240" w:lineRule="auto"/>
            </w:pPr>
            <w:r/>
            <w:r>
              <w:rPr>
                <w:rFonts w:ascii="Aptos" w:hAnsi="Aptos" w:eastAsia="Aptos"/>
                <w:b w:val="0"/>
                <w:color w:val="302B31"/>
                <w:sz w:val="16"/>
              </w:rPr>
              <w:t>Compares records across a selected date range, including supported clinical measurements, cycles, symptoms, Twin versions/review context and available physiology.</w:t>
            </w:r>
          </w:p>
        </w:tc>
        <w:tc>
          <w:tcPr>
            <w:tcW w:type="dxa" w:w="3960"/>
            <w:vAlign w:val="center"/>
            <w:tcMar>
              <w:top w:w="90" w:type="dxa"/>
              <w:start w:w="100" w:type="dxa"/>
              <w:bottom w:w="90" w:type="dxa"/>
              <w:end w:w="100" w:type="dxa"/>
            </w:tcMar>
          </w:tcPr>
          <w:p>
            <w:pPr>
              <w:spacing w:after="0" w:line="240" w:lineRule="auto"/>
            </w:pPr>
            <w:r/>
            <w:r>
              <w:rPr>
                <w:rFonts w:ascii="Aptos" w:hAnsi="Aptos" w:eastAsia="Aptos"/>
                <w:b w:val="0"/>
                <w:color w:val="302B31"/>
                <w:sz w:val="16"/>
              </w:rPr>
              <w:t>Select valid start/end dates and read the date range stated in the result. The preview calculates using only its embedded snapshot; wearable custom-range counts can be unavailable there.</w:t>
            </w:r>
          </w:p>
        </w:tc>
      </w:tr>
    </w:tbl>
    <w:p>
      <w:pPr>
        <w:spacing w:after="0"/>
      </w:pPr>
    </w:p>
    <w:p>
      <w:pPr>
        <w:pStyle w:val="Heading2"/>
        <w:keepNext/>
      </w:pPr>
      <w:r>
        <w:t>B. Digital Twin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Area</w:t>
            </w:r>
          </w:p>
        </w:tc>
        <w:tc>
          <w:tcPr>
            <w:tcW w:type="dxa" w:w="4464"/>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What it shows</w:t>
            </w:r>
          </w:p>
        </w:tc>
        <w:tc>
          <w:tcPr>
            <w:tcW w:type="dxa" w:w="3960"/>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How to use it</w:t>
            </w:r>
          </w:p>
        </w:tc>
      </w:tr>
      <w:tr>
        <w:trPr>
          <w:cantSplit/>
        </w:trPr>
        <w:tc>
          <w:tcPr>
            <w:tcW w:type="dxa" w:w="1944"/>
            <w:vAlign w:val="center"/>
            <w:tcMar>
              <w:top w:w="90" w:type="dxa"/>
              <w:start w:w="100" w:type="dxa"/>
              <w:bottom w:w="90" w:type="dxa"/>
              <w:end w:w="100" w:type="dxa"/>
            </w:tcMar>
          </w:tcPr>
          <w:p>
            <w:pPr>
              <w:spacing w:after="0" w:line="240" w:lineRule="auto"/>
            </w:pPr>
            <w:r/>
            <w:r>
              <w:rPr>
                <w:rFonts w:ascii="Aptos" w:hAnsi="Aptos" w:eastAsia="Aptos"/>
                <w:b w:val="0"/>
                <w:color w:val="302B31"/>
                <w:sz w:val="16"/>
              </w:rPr>
              <w:t>Twin &amp; versions</w:t>
            </w:r>
          </w:p>
        </w:tc>
        <w:tc>
          <w:tcPr>
            <w:tcW w:type="dxa" w:w="4464"/>
            <w:vAlign w:val="center"/>
            <w:tcMar>
              <w:top w:w="90" w:type="dxa"/>
              <w:start w:w="100" w:type="dxa"/>
              <w:bottom w:w="90" w:type="dxa"/>
              <w:end w:w="100" w:type="dxa"/>
            </w:tcMar>
          </w:tcPr>
          <w:p>
            <w:pPr>
              <w:spacing w:after="0" w:line="240" w:lineRule="auto"/>
            </w:pPr>
            <w:r/>
            <w:r>
              <w:rPr>
                <w:rFonts w:ascii="Aptos" w:hAnsi="Aptos" w:eastAsia="Aptos"/>
                <w:b w:val="0"/>
                <w:color w:val="302B31"/>
                <w:sz w:val="16"/>
              </w:rPr>
              <w:t>Current saved state, version timeline, change descriptions, source text and technical details.</w:t>
            </w:r>
          </w:p>
        </w:tc>
        <w:tc>
          <w:tcPr>
            <w:tcW w:type="dxa" w:w="3960"/>
            <w:vAlign w:val="center"/>
            <w:tcMar>
              <w:top w:w="90" w:type="dxa"/>
              <w:start w:w="100" w:type="dxa"/>
              <w:bottom w:w="90" w:type="dxa"/>
              <w:end w:w="100" w:type="dxa"/>
            </w:tcMar>
          </w:tcPr>
          <w:p>
            <w:pPr>
              <w:spacing w:after="0" w:line="240" w:lineRule="auto"/>
            </w:pPr>
            <w:r/>
            <w:r>
              <w:rPr>
                <w:rFonts w:ascii="Aptos" w:hAnsi="Aptos" w:eastAsia="Aptos"/>
                <w:b w:val="0"/>
                <w:color w:val="302B31"/>
                <w:sz w:val="16"/>
              </w:rPr>
              <w:t>Inspect the “as of” timestamp and source; use older versions to understand what changed.</w:t>
            </w:r>
          </w:p>
        </w:tc>
      </w:tr>
      <w:tr>
        <w:trPr>
          <w:cantSplit/>
        </w:trPr>
        <w:tc>
          <w:tcPr>
            <w:tcW w:type="dxa" w:w="194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Compare / Replay</w:t>
            </w:r>
          </w:p>
        </w:tc>
        <w:tc>
          <w:tcPr>
            <w:tcW w:type="dxa" w:w="446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Diffs between saved versions and historical state inspection.</w:t>
            </w:r>
          </w:p>
        </w:tc>
        <w:tc>
          <w:tcPr>
            <w:tcW w:type="dxa" w:w="396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Choose two versions. Comparison is chronological; the older and newer versions should be interpreted by their timestamp/version, not the order selected.</w:t>
            </w:r>
          </w:p>
        </w:tc>
      </w:tr>
      <w:tr>
        <w:trPr>
          <w:cantSplit/>
        </w:trPr>
        <w:tc>
          <w:tcPr>
            <w:tcW w:type="dxa" w:w="1944"/>
            <w:vAlign w:val="center"/>
            <w:tcMar>
              <w:top w:w="90" w:type="dxa"/>
              <w:start w:w="100" w:type="dxa"/>
              <w:bottom w:w="90" w:type="dxa"/>
              <w:end w:w="100" w:type="dxa"/>
            </w:tcMar>
          </w:tcPr>
          <w:p>
            <w:pPr>
              <w:spacing w:after="0" w:line="240" w:lineRule="auto"/>
            </w:pPr>
            <w:r/>
            <w:r>
              <w:rPr>
                <w:rFonts w:ascii="Aptos" w:hAnsi="Aptos" w:eastAsia="Aptos"/>
                <w:b w:val="0"/>
                <w:color w:val="302B31"/>
                <w:sz w:val="16"/>
              </w:rPr>
              <w:t>Prediction</w:t>
            </w:r>
          </w:p>
        </w:tc>
        <w:tc>
          <w:tcPr>
            <w:tcW w:type="dxa" w:w="4464"/>
            <w:vAlign w:val="center"/>
            <w:tcMar>
              <w:top w:w="90" w:type="dxa"/>
              <w:start w:w="100" w:type="dxa"/>
              <w:bottom w:w="90" w:type="dxa"/>
              <w:end w:w="100" w:type="dxa"/>
            </w:tcMar>
          </w:tcPr>
          <w:p>
            <w:pPr>
              <w:spacing w:after="0" w:line="240" w:lineRule="auto"/>
            </w:pPr>
            <w:r/>
            <w:r>
              <w:rPr>
                <w:rFonts w:ascii="Aptos" w:hAnsi="Aptos" w:eastAsia="Aptos"/>
                <w:b w:val="0"/>
                <w:color w:val="302B31"/>
                <w:sz w:val="16"/>
              </w:rPr>
              <w:t>Readiness gate, experimental score, saved prediction history and outcome information.</w:t>
            </w:r>
          </w:p>
        </w:tc>
        <w:tc>
          <w:tcPr>
            <w:tcW w:type="dxa" w:w="3960"/>
            <w:vAlign w:val="center"/>
            <w:tcMar>
              <w:top w:w="90" w:type="dxa"/>
              <w:start w:w="100" w:type="dxa"/>
              <w:bottom w:w="90" w:type="dxa"/>
              <w:end w:w="100" w:type="dxa"/>
            </w:tcMar>
          </w:tcPr>
          <w:p>
            <w:pPr>
              <w:spacing w:after="0" w:line="240" w:lineRule="auto"/>
            </w:pPr>
            <w:r/>
            <w:r>
              <w:rPr>
                <w:rFonts w:ascii="Aptos" w:hAnsi="Aptos" w:eastAsia="Aptos"/>
                <w:b w:val="0"/>
                <w:color w:val="302B31"/>
                <w:sz w:val="16"/>
              </w:rPr>
              <w:t>Check the reasons if unavailable. A score is a synthetic-model output, not a validated clinical risk.</w:t>
            </w:r>
          </w:p>
        </w:tc>
      </w:tr>
      <w:tr>
        <w:trPr>
          <w:cantSplit/>
        </w:trPr>
        <w:tc>
          <w:tcPr>
            <w:tcW w:type="dxa" w:w="194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Data quality</w:t>
            </w:r>
          </w:p>
        </w:tc>
        <w:tc>
          <w:tcPr>
            <w:tcW w:type="dxa" w:w="446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Completeness, freshness, stream coverage, gaps, data provenance and pending-review context.</w:t>
            </w:r>
          </w:p>
        </w:tc>
        <w:tc>
          <w:tcPr>
            <w:tcW w:type="dxa" w:w="396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Check data quality before drawing conclusions from a chart or score.</w:t>
            </w:r>
          </w:p>
        </w:tc>
      </w:tr>
    </w:tbl>
    <w:p>
      <w:pPr>
        <w:spacing w:after="0"/>
      </w:pPr>
    </w:p>
    <w:p>
      <w:pPr>
        <w:pStyle w:val="Heading2"/>
        <w:keepNext/>
      </w:pPr>
      <w:r>
        <w:t>C. Records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Area</w:t>
            </w:r>
          </w:p>
        </w:tc>
        <w:tc>
          <w:tcPr>
            <w:tcW w:type="dxa" w:w="4536"/>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What it shows</w:t>
            </w:r>
          </w:p>
        </w:tc>
        <w:tc>
          <w:tcPr>
            <w:tcW w:type="dxa" w:w="3600"/>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Key rule</w:t>
            </w:r>
          </w:p>
        </w:tc>
      </w:tr>
      <w:tr>
        <w:trPr>
          <w:cantSplit/>
        </w:trPr>
        <w:tc>
          <w:tcPr>
            <w:tcW w:type="dxa" w:w="2232"/>
            <w:vAlign w:val="center"/>
            <w:tcMar>
              <w:top w:w="90" w:type="dxa"/>
              <w:start w:w="100" w:type="dxa"/>
              <w:bottom w:w="90" w:type="dxa"/>
              <w:end w:w="100" w:type="dxa"/>
            </w:tcMar>
          </w:tcPr>
          <w:p>
            <w:pPr>
              <w:spacing w:after="0" w:line="240" w:lineRule="auto"/>
            </w:pPr>
            <w:r/>
            <w:r>
              <w:rPr>
                <w:rFonts w:ascii="Aptos" w:hAnsi="Aptos" w:eastAsia="Aptos"/>
                <w:b w:val="0"/>
                <w:color w:val="302B31"/>
                <w:sz w:val="15"/>
              </w:rPr>
              <w:t>Medical timeline</w:t>
            </w:r>
          </w:p>
        </w:tc>
        <w:tc>
          <w:tcPr>
            <w:tcW w:type="dxa" w:w="453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Filterable sequence of report, history, lab, physiology, Twin and prediction events.</w:t>
            </w:r>
          </w:p>
        </w:tc>
        <w:tc>
          <w:tcPr>
            <w:tcW w:type="dxa" w:w="360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A timeline item is evidence of a recorded event, not automatically a clinical interpretation.</w:t>
            </w:r>
          </w:p>
        </w:tc>
      </w:tr>
      <w:tr>
        <w:trPr>
          <w:cantSplit/>
        </w:trPr>
        <w:tc>
          <w:tcPr>
            <w:tcW w:type="dxa" w:w="2232"/>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Reports</w:t>
            </w:r>
          </w:p>
        </w:tc>
        <w:tc>
          <w:tcPr>
            <w:tcW w:type="dxa" w:w="453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Uploaded documents, extraction status, pending fields, approved fields and review controls.</w:t>
            </w:r>
          </w:p>
        </w:tc>
        <w:tc>
          <w:tcPr>
            <w:tcW w:type="dxa" w:w="360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Compare the extracted row against the original document before approving.</w:t>
            </w:r>
          </w:p>
        </w:tc>
      </w:tr>
      <w:tr>
        <w:trPr>
          <w:cantSplit/>
        </w:trPr>
        <w:tc>
          <w:tcPr>
            <w:tcW w:type="dxa" w:w="2232"/>
            <w:vAlign w:val="center"/>
            <w:tcMar>
              <w:top w:w="90" w:type="dxa"/>
              <w:start w:w="100" w:type="dxa"/>
              <w:bottom w:w="90" w:type="dxa"/>
              <w:end w:w="100" w:type="dxa"/>
            </w:tcMar>
          </w:tcPr>
          <w:p>
            <w:pPr>
              <w:spacing w:after="0" w:line="240" w:lineRule="auto"/>
            </w:pPr>
            <w:r/>
            <w:r>
              <w:rPr>
                <w:rFonts w:ascii="Aptos" w:hAnsi="Aptos" w:eastAsia="Aptos"/>
                <w:b w:val="0"/>
                <w:color w:val="302B31"/>
                <w:sz w:val="15"/>
              </w:rPr>
              <w:t>Lab tests / clinical measurements</w:t>
            </w:r>
          </w:p>
        </w:tc>
        <w:tc>
          <w:tcPr>
            <w:tcW w:type="dxa" w:w="453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Dated measurements with values, units, source, status, and reference ranges when supplied. Blood pressure is counted in vital signs by the project's classification.</w:t>
            </w:r>
          </w:p>
        </w:tc>
        <w:tc>
          <w:tcPr>
            <w:tcW w:type="dxa" w:w="360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A reference range is the source lab’s range; it is not automatically a diagnostic criterion. No unit conversion is performed automatically.</w:t>
            </w:r>
          </w:p>
        </w:tc>
      </w:tr>
      <w:tr>
        <w:trPr>
          <w:cantSplit/>
        </w:trPr>
        <w:tc>
          <w:tcPr>
            <w:tcW w:type="dxa" w:w="2232"/>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Menstrual cycle</w:t>
            </w:r>
          </w:p>
        </w:tc>
        <w:tc>
          <w:tcPr>
            <w:tcW w:type="dxa" w:w="453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Period start/end dates, intervals and cycle calendar/summary.</w:t>
            </w:r>
          </w:p>
        </w:tc>
        <w:tc>
          <w:tcPr>
            <w:tcW w:type="dxa" w:w="360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Intervals are calculated from recorded starts; missing periods are not assumed.</w:t>
            </w:r>
          </w:p>
        </w:tc>
      </w:tr>
      <w:tr>
        <w:trPr>
          <w:cantSplit/>
        </w:trPr>
        <w:tc>
          <w:tcPr>
            <w:tcW w:type="dxa" w:w="2232"/>
            <w:vAlign w:val="center"/>
            <w:tcMar>
              <w:top w:w="90" w:type="dxa"/>
              <w:start w:w="100" w:type="dxa"/>
              <w:bottom w:w="90" w:type="dxa"/>
              <w:end w:w="100" w:type="dxa"/>
            </w:tcMar>
          </w:tcPr>
          <w:p>
            <w:pPr>
              <w:spacing w:after="0" w:line="240" w:lineRule="auto"/>
            </w:pPr>
            <w:r/>
            <w:r>
              <w:rPr>
                <w:rFonts w:ascii="Aptos" w:hAnsi="Aptos" w:eastAsia="Aptos"/>
                <w:b w:val="0"/>
                <w:color w:val="302B31"/>
                <w:sz w:val="15"/>
              </w:rPr>
              <w:t>Symptoms</w:t>
            </w:r>
          </w:p>
        </w:tc>
        <w:tc>
          <w:tcPr>
            <w:tcW w:type="dxa" w:w="453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Patient-reported symptom entries and trends/heatmap.</w:t>
            </w:r>
          </w:p>
        </w:tc>
        <w:tc>
          <w:tcPr>
            <w:tcW w:type="dxa" w:w="360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Severity is recorded on a 0–4 scale; do not describe it as a clinician-observed measurement.</w:t>
            </w:r>
          </w:p>
        </w:tc>
      </w:tr>
      <w:tr>
        <w:trPr>
          <w:cantSplit/>
        </w:trPr>
        <w:tc>
          <w:tcPr>
            <w:tcW w:type="dxa" w:w="2232"/>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Wearable / physiological data</w:t>
            </w:r>
          </w:p>
        </w:tc>
        <w:tc>
          <w:tcPr>
            <w:tcW w:type="dxa" w:w="453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Imported time-series, coverage, missing samples, gaps, duplicates and out-of-range counts.</w:t>
            </w:r>
          </w:p>
        </w:tc>
        <w:tc>
          <w:tcPr>
            <w:tcW w:type="dxa" w:w="360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These are file imports, not a live device stream in this package.</w:t>
            </w:r>
          </w:p>
        </w:tc>
      </w:tr>
    </w:tbl>
    <w:p>
      <w:pPr>
        <w:spacing w:after="0"/>
      </w:pPr>
    </w:p>
    <w:p>
      <w:pPr>
        <w:pStyle w:val="Heading2"/>
        <w:keepNext/>
      </w:pPr>
      <w:r>
        <w:t>D. Doctor Brief</w:t>
      </w:r>
    </w:p>
    <w:p>
      <w:r>
        <w:t>A report for the currently selected patient. The Brief assembles evidence from multiple sections, labels missing/unavailable/pending information, and includes limitations. In the full app the server generates a patient-specific PDF; the browser print route can also be used. In the static preview, printing uses the embedded snapshot and is not a new live database report.</w:t>
      </w:r>
    </w:p>
    <w:p>
      <w:pPr>
        <w:pStyle w:val="Heading2"/>
        <w:keepNext/>
      </w:pPr>
      <w:r>
        <w:t>How to read every page</w:t>
      </w:r>
    </w:p>
    <w:p>
      <w:r>
        <w:t>Each page is designed to explain what is being shown, what it means, and what to do next. Treat those explanations as a navigation aid and context, not as clinical instructions or automated diagnosis.</w:t>
      </w:r>
    </w:p>
    <w:p>
      <w:pPr>
        <w:pStyle w:val="Heading1"/>
        <w:keepNext/>
      </w:pPr>
      <w:r>
        <w:t>7. End-to-end workflow: report to Doctor Brief</w:t>
      </w:r>
    </w:p>
    <w:p>
      <w:r>
        <w:t>This is the core story NAARI is built to demonstrate. The guided evaluator demo has ten steps, but the key principle is that the tour guides the user—it does not secretly perform the workflow for them.</w:t>
      </w:r>
    </w:p>
    <w:p>
      <w:pPr>
        <w:pStyle w:val="Heading3"/>
        <w:keepNext/>
      </w:pPr>
      <w:r>
        <w:t>1. Select the patient</w:t>
      </w:r>
    </w:p>
    <w:p>
      <w:r>
        <w:t>Open the workspace and select Ananya Rao (`SYN-000`) for the detailed walkthrough. Confirm the displayed name and ID.</w:t>
      </w:r>
    </w:p>
    <w:p>
      <w:pPr>
        <w:pStyle w:val="Heading3"/>
        <w:keepNext/>
      </w:pPr>
      <w:r>
        <w:t>2. Upload a clinical report</w:t>
      </w:r>
    </w:p>
    <w:p>
      <w:r>
        <w:t>In the full app, upload a supported PDF, scanned PNG/JPG, or structured CSV/JSON. Upload stores the source document and extracts candidate fields. It does not automatically verify them.</w:t>
      </w:r>
    </w:p>
    <w:p>
      <w:pPr>
        <w:pStyle w:val="Heading3"/>
        <w:keepNext/>
      </w:pPr>
      <w:r>
        <w:t>3. Review extracted candidate values</w:t>
      </w:r>
    </w:p>
    <w:p>
      <w:r>
        <w:t>Check test name, numeric result, unit, date, reference range, flag, page, source and extraction method. Correct OCR mistakes against the source document.</w:t>
      </w:r>
    </w:p>
    <w:p>
      <w:pPr>
        <w:pStyle w:val="Heading3"/>
        <w:keepNext/>
      </w:pPr>
      <w:r>
        <w:t>4. Approve or reject fields</w:t>
      </w:r>
    </w:p>
    <w:p>
      <w:r>
        <w:t>Approval requires a valid test name, numeric value, unit and date. Approved values become verified measurements linked to the source. Pending or rejected fields are not treated as verified results.</w:t>
      </w:r>
    </w:p>
    <w:p>
      <w:pPr>
        <w:pStyle w:val="Heading3"/>
        <w:keepNext/>
      </w:pPr>
      <w:r>
        <w:t>5. Preview wearable-data import</w:t>
      </w:r>
    </w:p>
    <w:p>
      <w:r>
        <w:t>Select the sample new CGM batch or another supported CSV. Review valid rows, missing values, invalid timestamps, duplicates, out-of-range readings and glucose gaps.</w:t>
      </w:r>
    </w:p>
    <w:p>
      <w:pPr>
        <w:pStyle w:val="Heading3"/>
        <w:keepNext/>
      </w:pPr>
      <w:r>
        <w:t>6. Import and update the Twin</w:t>
      </w:r>
    </w:p>
    <w:p>
      <w:r>
        <w:t>The sample workflow can import time-series and create/update a Twin version. In the UI, success messages should distinguish data stored from Twin update success.</w:t>
      </w:r>
    </w:p>
    <w:p>
      <w:pPr>
        <w:pStyle w:val="Heading3"/>
        <w:keepNext/>
      </w:pPr>
      <w:r>
        <w:t>7. Compare versions</w:t>
      </w:r>
    </w:p>
    <w:p>
      <w:r>
        <w:t>Inspect the older and newer snapshot, changes, reasons and sources. Confirm that the page explains what the saved Twin includes and excludes.</w:t>
      </w:r>
    </w:p>
    <w:p>
      <w:pPr>
        <w:pStyle w:val="Heading3"/>
        <w:keepNext/>
      </w:pPr>
      <w:r>
        <w:t>8. Review the prediction feature</w:t>
      </w:r>
    </w:p>
    <w:p>
      <w:r>
        <w:t>Check model readiness. If required inputs are missing, read the exact reasons. If ready, run the score and inspect its horizon, inputs and limitations.</w:t>
      </w:r>
    </w:p>
    <w:p>
      <w:pPr>
        <w:pStyle w:val="Heading3"/>
        <w:keepNext/>
      </w:pPr>
      <w:r>
        <w:t>9. Generate the Doctor Brief</w:t>
      </w:r>
    </w:p>
    <w:p>
      <w:r>
        <w:t>Open Doctor Brief for the selected patient, review its sections, then generate/download the server PDF or use print/save as PDF.</w:t>
      </w:r>
    </w:p>
    <w:p>
      <w:pPr>
        <w:pStyle w:val="Heading3"/>
        <w:keepNext/>
      </w:pPr>
      <w:r>
        <w:t>10. Explain the evidence and gaps</w:t>
      </w:r>
    </w:p>
    <w:p>
      <w:r>
        <w:t>Point out verified measurements, patient-reported symptoms, cycle records, physiological coverage, Twin state, model result, missing data, pending reviews and data-quality notes.</w:t>
      </w:r>
    </w:p>
    <w:tbl>
      <w:tblPr>
        <w:tblW w:type="auto" w:w="0"/>
        <w:jc w:val="center"/>
        <w:tblLayout w:type="fixed"/>
        <w:tblLook w:firstColumn="1" w:firstRow="1" w:lastColumn="0" w:lastRow="0" w:noHBand="0" w:noVBand="1" w:val="04A0"/>
      </w:tblPr>
      <w:tblGrid>
        <w:gridCol w:w="10166"/>
      </w:tblGrid>
      <w:tr>
        <w:trPr>
          <w:cantSplit/>
        </w:trPr>
        <w:tc>
          <w:tcPr>
            <w:tcW w:type="dxa" w:w="10166"/>
            <w:shd w:fill="E9E2F0"/>
            <w:tcMar>
              <w:top w:w="140" w:type="dxa"/>
              <w:start w:w="180" w:type="dxa"/>
              <w:bottom w:w="140" w:type="dxa"/>
              <w:end w:w="180" w:type="dxa"/>
            </w:tcMar>
          </w:tcPr>
          <w:p>
            <w:pPr>
              <w:spacing w:after="60"/>
            </w:pPr>
            <w:r/>
            <w:r>
              <w:rPr>
                <w:b/>
                <w:color w:val="594052"/>
                <w:sz w:val="20"/>
              </w:rPr>
              <w:t>Important demo behaviour</w:t>
            </w:r>
          </w:p>
          <w:p>
            <w:pPr>
              <w:spacing w:after="0" w:line="252" w:lineRule="auto"/>
            </w:pPr>
            <w:r>
              <w:rPr>
                <w:color w:val="302B31"/>
                <w:sz w:val="18"/>
              </w:rPr>
              <w:t>In the guided demo, action steps say “Your turn.” In static preview, upload/approval/import/Twin-update/prediction-write steps explain that the full application is required. The preview illustrates the embedded snapshot; it does not fabricate a new action or persist data.</w:t>
            </w:r>
          </w:p>
        </w:tc>
      </w:tr>
    </w:tbl>
    <w:p>
      <w:pPr>
        <w:spacing w:after="0"/>
      </w:pPr>
    </w:p>
    <w:p>
      <w:pPr>
        <w:pStyle w:val="Heading1"/>
        <w:keepNext/>
      </w:pPr>
      <w:r>
        <w:t>8. How the Digital Twin is built and versioned</w:t>
      </w:r>
    </w:p>
    <w:p>
      <w:pPr>
        <w:pStyle w:val="Heading2"/>
        <w:keepNext/>
      </w:pPr>
      <w:r>
        <w:t>Step-by-step logic</w:t>
      </w:r>
    </w:p>
    <w:p>
      <w:pPr>
        <w:spacing w:after="60"/>
        <w:ind w:left="461" w:hanging="374"/>
      </w:pPr>
      <w:r>
        <w:rPr>
          <w:b/>
        </w:rPr>
        <w:t xml:space="preserve">1. </w:t>
      </w:r>
      <w:r>
        <w:t>Read verified measurements for the selected patient that are dated on or before the snapshot’s `as_of` time. For each test name, the latest eligible result wins in the snapshot state.</w:t>
      </w:r>
    </w:p>
    <w:p>
      <w:pPr>
        <w:spacing w:after="60"/>
        <w:ind w:left="461" w:hanging="374"/>
      </w:pPr>
      <w:r>
        <w:rPr>
          <w:b/>
        </w:rPr>
        <w:t xml:space="preserve">2. </w:t>
      </w:r>
      <w:r>
        <w:t>Read valid glucose points from the prior 14-day window. The time-series query filters to `quality='ok'`; out-of-range readings are not included in that summary.</w:t>
      </w:r>
    </w:p>
    <w:p>
      <w:pPr>
        <w:spacing w:after="60"/>
        <w:ind w:left="461" w:hanging="374"/>
      </w:pPr>
      <w:r>
        <w:rPr>
          <w:b/>
        </w:rPr>
        <w:t xml:space="preserve">3. </w:t>
      </w:r>
      <w:r>
        <w:t>Calculate glucose summary values: reading count, mean glucose, time-in-range percentage (70–180 mg/dL), time-above-range percentage (&gt;180 mg/dL), and time since last reading.</w:t>
      </w:r>
    </w:p>
    <w:p>
      <w:pPr>
        <w:spacing w:after="60"/>
        <w:ind w:left="461" w:hanging="374"/>
      </w:pPr>
      <w:r>
        <w:rPr>
          <w:b/>
        </w:rPr>
        <w:t xml:space="preserve">4. </w:t>
      </w:r>
      <w:r>
        <w:t>Record missing fields, including missing glucose time-series and missing verified HbA1c where applicable; add a warning if CGM data are more than six hours stale.</w:t>
      </w:r>
    </w:p>
    <w:p>
      <w:pPr>
        <w:spacing w:after="60"/>
        <w:ind w:left="461" w:hanging="374"/>
      </w:pPr>
      <w:r>
        <w:rPr>
          <w:b/>
        </w:rPr>
        <w:t xml:space="preserve">5. </w:t>
      </w:r>
      <w:r>
        <w:t>Flatten the previous and current snapshot states into comparable feature keys, such as `clinical.HbA1c` or `cgm.mean`, and detect which values changed.</w:t>
      </w:r>
    </w:p>
    <w:p>
      <w:pPr>
        <w:spacing w:after="60"/>
        <w:ind w:left="461" w:hanging="374"/>
      </w:pPr>
      <w:r>
        <w:rPr>
          <w:b/>
        </w:rPr>
        <w:t xml:space="preserve">6. </w:t>
      </w:r>
      <w:r>
        <w:t>Store a new snapshot version with its date/time, JSON state, change list and reason. If there is no change, the engine can retain the previous version rather than making a duplicate.</w:t>
      </w:r>
    </w:p>
    <w:p>
      <w:pPr>
        <w:pStyle w:val="Heading2"/>
        <w:keepNext/>
      </w:pPr>
      <w:r>
        <w:t>What a snapshot is not</w:t>
      </w:r>
    </w:p>
    <w:p>
      <w:r>
        <w:t>It is not a continuously running physiological simulator, not a mechanistic model of PCOS, and not a representation of every record on every screen. It is a dated summary of a defined subset of verified records. The application can show cycles and symptoms around the Twin without putting them inside the saved Twin state.</w:t>
      </w:r>
    </w:p>
    <w:p>
      <w:pPr>
        <w:pStyle w:val="Heading2"/>
        <w:keepNext/>
      </w:pPr>
      <w:r>
        <w:t>Why versions help</w:t>
      </w:r>
    </w:p>
    <w:p>
      <w:pPr>
        <w:pStyle w:val="ListBullet"/>
        <w:spacing w:after="40"/>
      </w:pPr>
      <w:r>
        <w:t>They keep old states available for comparison rather than overwriting history.</w:t>
      </w:r>
    </w:p>
    <w:p>
      <w:pPr>
        <w:pStyle w:val="ListBullet"/>
        <w:spacing w:after="40"/>
      </w:pPr>
      <w:r>
        <w:t>They show when a measurement or glucose summary changed.</w:t>
      </w:r>
    </w:p>
    <w:p>
      <w:pPr>
        <w:pStyle w:val="ListBullet"/>
        <w:spacing w:after="40"/>
      </w:pPr>
      <w:r>
        <w:t>They link a changed feature to a record or imported batch when the code has that source information.</w:t>
      </w:r>
    </w:p>
    <w:p>
      <w:pPr>
        <w:pStyle w:val="ListBullet"/>
        <w:spacing w:after="40"/>
      </w:pPr>
      <w:r>
        <w:t>They allow an evaluator to replay and compare earlier/later states.</w:t>
      </w:r>
    </w:p>
    <w:p>
      <w:pPr>
        <w:pStyle w:val="Heading2"/>
        <w:keepNext/>
      </w:pPr>
      <w:r>
        <w:t>Example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Earlier snapshot</w:t>
            </w:r>
          </w:p>
        </w:tc>
        <w:tc>
          <w:tcPr>
            <w:tcW w:type="dxa" w:w="3600"/>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New input</w:t>
            </w:r>
          </w:p>
        </w:tc>
        <w:tc>
          <w:tcPr>
            <w:tcW w:type="dxa" w:w="5040"/>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Possible change shown</w:t>
            </w:r>
          </w:p>
        </w:tc>
      </w:tr>
      <w:tr>
        <w:trPr>
          <w:cantSplit/>
        </w:trPr>
        <w:tc>
          <w:tcPr>
            <w:tcW w:type="dxa" w:w="1728"/>
            <w:vAlign w:val="center"/>
            <w:tcMar>
              <w:top w:w="90" w:type="dxa"/>
              <w:start w:w="100" w:type="dxa"/>
              <w:bottom w:w="90" w:type="dxa"/>
              <w:end w:w="100" w:type="dxa"/>
            </w:tcMar>
          </w:tcPr>
          <w:p>
            <w:pPr>
              <w:spacing w:after="0" w:line="240" w:lineRule="auto"/>
            </w:pPr>
            <w:r/>
            <w:r>
              <w:rPr>
                <w:rFonts w:ascii="Aptos" w:hAnsi="Aptos" w:eastAsia="Aptos"/>
                <w:b w:val="0"/>
                <w:color w:val="302B31"/>
                <w:sz w:val="16"/>
              </w:rPr>
              <w:t>Twin v1</w:t>
            </w:r>
          </w:p>
        </w:tc>
        <w:tc>
          <w:tcPr>
            <w:tcW w:type="dxa" w:w="3600"/>
            <w:vAlign w:val="center"/>
            <w:tcMar>
              <w:top w:w="90" w:type="dxa"/>
              <w:start w:w="100" w:type="dxa"/>
              <w:bottom w:w="90" w:type="dxa"/>
              <w:end w:w="100" w:type="dxa"/>
            </w:tcMar>
          </w:tcPr>
          <w:p>
            <w:pPr>
              <w:spacing w:after="0" w:line="240" w:lineRule="auto"/>
            </w:pPr>
            <w:r/>
            <w:r>
              <w:rPr>
                <w:rFonts w:ascii="Aptos" w:hAnsi="Aptos" w:eastAsia="Aptos"/>
                <w:b w:val="0"/>
                <w:color w:val="302B31"/>
                <w:sz w:val="16"/>
              </w:rPr>
              <w:t>A reviewed report adds HbA1c and newer lab values.</w:t>
            </w:r>
          </w:p>
        </w:tc>
        <w:tc>
          <w:tcPr>
            <w:tcW w:type="dxa" w:w="5040"/>
            <w:vAlign w:val="center"/>
            <w:tcMar>
              <w:top w:w="90" w:type="dxa"/>
              <w:start w:w="100" w:type="dxa"/>
              <w:bottom w:w="90" w:type="dxa"/>
              <w:end w:w="100" w:type="dxa"/>
            </w:tcMar>
          </w:tcPr>
          <w:p>
            <w:pPr>
              <w:spacing w:after="0" w:line="240" w:lineRule="auto"/>
            </w:pPr>
            <w:r/>
            <w:r>
              <w:rPr>
                <w:rFonts w:ascii="Aptos" w:hAnsi="Aptos" w:eastAsia="Aptos"/>
                <w:b w:val="0"/>
                <w:color w:val="302B31"/>
                <w:sz w:val="16"/>
              </w:rPr>
              <w:t>Clinical entries are added or their latest values change; the diff should identify the report/date as source.</w:t>
            </w:r>
          </w:p>
        </w:tc>
      </w:tr>
      <w:tr>
        <w:trPr>
          <w:cantSplit/>
        </w:trPr>
        <w:tc>
          <w:tcPr>
            <w:tcW w:type="dxa" w:w="172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Twin v2</w:t>
            </w:r>
          </w:p>
        </w:tc>
        <w:tc>
          <w:tcPr>
            <w:tcW w:type="dxa" w:w="360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A new four-day CGM batch is imported.</w:t>
            </w:r>
          </w:p>
        </w:tc>
        <w:tc>
          <w:tcPr>
            <w:tcW w:type="dxa" w:w="504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The 14-day glucose count and summary may change; the batch is a source reference, not proof it alone caused every change.</w:t>
            </w:r>
          </w:p>
        </w:tc>
      </w:tr>
    </w:tbl>
    <w:p>
      <w:pPr>
        <w:spacing w:after="0"/>
      </w:pPr>
    </w:p>
    <w:p>
      <w:pPr>
        <w:pStyle w:val="Heading1"/>
        <w:keepNext/>
      </w:pPr>
      <w:r>
        <w:t>9. Machine-learning prediction: task, features, training, metrics</w:t>
      </w:r>
    </w:p>
    <w:p>
      <w:pPr>
        <w:pStyle w:val="Heading2"/>
        <w:keepNext/>
      </w:pPr>
      <w:r>
        <w:t>Exact prediction task</w:t>
      </w:r>
    </w:p>
    <w:tbl>
      <w:tblPr>
        <w:tblW w:type="auto" w:w="0"/>
        <w:jc w:val="center"/>
        <w:tblLayout w:type="fixed"/>
        <w:tblLook w:firstColumn="1" w:firstRow="1" w:lastColumn="0" w:lastRow="0" w:noHBand="0" w:noVBand="1" w:val="04A0"/>
      </w:tblPr>
      <w:tblGrid>
        <w:gridCol w:w="10166"/>
      </w:tblGrid>
      <w:tr>
        <w:trPr>
          <w:cantSplit/>
        </w:trPr>
        <w:tc>
          <w:tcPr>
            <w:tcW w:type="dxa" w:w="10166"/>
            <w:shd w:fill="E9E2F0"/>
            <w:tcMar>
              <w:top w:w="140" w:type="dxa"/>
              <w:start w:w="180" w:type="dxa"/>
              <w:bottom w:w="140" w:type="dxa"/>
              <w:end w:w="180" w:type="dxa"/>
            </w:tcMar>
          </w:tcPr>
          <w:p>
            <w:pPr>
              <w:spacing w:after="60"/>
            </w:pPr>
            <w:r/>
            <w:r>
              <w:rPr>
                <w:b/>
                <w:color w:val="594052"/>
                <w:sz w:val="20"/>
              </w:rPr>
              <w:t>Task</w:t>
            </w:r>
          </w:p>
          <w:p>
            <w:pPr>
              <w:spacing w:after="0" w:line="252" w:lineRule="auto"/>
            </w:pPr>
            <w:r>
              <w:rPr>
                <w:color w:val="302B31"/>
                <w:sz w:val="18"/>
              </w:rPr>
              <w:t>Among time points when current CGM glucose is at or below 180 mg/dL, estimate whether glucose will exceed 180 mg/dL at any point during the next 120 minutes. The model is limited to new excursions; if glucose is already above the threshold, prediction is refused.</w:t>
            </w:r>
          </w:p>
        </w:tc>
      </w:tr>
    </w:tbl>
    <w:p>
      <w:pPr>
        <w:spacing w:after="0"/>
      </w:pPr>
    </w:p>
    <w:p>
      <w:r>
        <w:t>The 180 mg/dL threshold is used for this model’s glucose time-above-range task. It is not a PCOS diagnostic criterion.</w:t>
      </w:r>
    </w:p>
    <w:p>
      <w:pPr>
        <w:pStyle w:val="Heading2"/>
        <w:keepNext/>
      </w:pPr>
      <w:r>
        <w:t>Input window and gate</w:t>
      </w:r>
    </w:p>
    <w:p>
      <w:pPr>
        <w:pStyle w:val="ListBullet"/>
        <w:spacing w:after="40"/>
      </w:pPr>
      <w:r>
        <w:t>The history window is two hours: 24 samples at five-minute intervals.</w:t>
      </w:r>
    </w:p>
    <w:p>
      <w:pPr>
        <w:pStyle w:val="ListBullet"/>
        <w:spacing w:after="40"/>
      </w:pPr>
      <w:r>
        <w:t>The required streams are glucose, heart rate and steps from that recent period, plus the latest verified HbA1c.</w:t>
      </w:r>
    </w:p>
    <w:p>
      <w:pPr>
        <w:pStyle w:val="ListBullet"/>
        <w:spacing w:after="40"/>
      </w:pPr>
      <w:r>
        <w:t>The application refuses inference if input requirements are not met; it lists reasons such as insufficient valid samples, missing verified HbA1c, glucose already above the threshold, or a missing model file.</w:t>
      </w:r>
    </w:p>
    <w:p>
      <w:pPr>
        <w:pStyle w:val="ListBullet"/>
        <w:spacing w:after="40"/>
      </w:pPr>
      <w:r>
        <w:t>The current code computes the 90% sample threshold using `int(24 × 0.9)`, which evaluates to 21. Twenty-one of 24 is 87.5%, so the exact threshold implementation is slightly below 90%; treat this as a small code/model-card consistency item if revising the gate later.</w:t>
      </w:r>
    </w:p>
    <w:p>
      <w:pPr>
        <w:pStyle w:val="Heading2"/>
        <w:keepNext/>
      </w:pPr>
      <w:r>
        <w:t>Twelve model features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Feature</w:t>
            </w:r>
          </w:p>
        </w:tc>
        <w:tc>
          <w:tcPr>
            <w:tcW w:type="dxa" w:w="8136"/>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Plain-language meaning</w:t>
            </w:r>
          </w:p>
        </w:tc>
      </w:tr>
      <w:tr>
        <w:trPr>
          <w:cantSplit/>
        </w:trPr>
        <w:tc>
          <w:tcPr>
            <w:tcW w:type="dxa" w:w="2088"/>
            <w:vAlign w:val="center"/>
            <w:tcMar>
              <w:top w:w="90" w:type="dxa"/>
              <w:start w:w="100" w:type="dxa"/>
              <w:bottom w:w="90" w:type="dxa"/>
              <w:end w:w="100" w:type="dxa"/>
            </w:tcMar>
          </w:tcPr>
          <w:p>
            <w:pPr>
              <w:spacing w:after="0" w:line="240" w:lineRule="auto"/>
            </w:pPr>
            <w:r/>
            <w:r>
              <w:rPr>
                <w:rFonts w:ascii="Aptos" w:hAnsi="Aptos" w:eastAsia="Aptos"/>
                <w:b w:val="0"/>
                <w:color w:val="302B31"/>
                <w:sz w:val="16"/>
              </w:rPr>
              <w:t>`g_last`</w:t>
            </w:r>
          </w:p>
        </w:tc>
        <w:tc>
          <w:tcPr>
            <w:tcW w:type="dxa" w:w="8136"/>
            <w:vAlign w:val="center"/>
            <w:tcMar>
              <w:top w:w="90" w:type="dxa"/>
              <w:start w:w="100" w:type="dxa"/>
              <w:bottom w:w="90" w:type="dxa"/>
              <w:end w:w="100" w:type="dxa"/>
            </w:tcMar>
          </w:tcPr>
          <w:p>
            <w:pPr>
              <w:spacing w:after="0" w:line="240" w:lineRule="auto"/>
            </w:pPr>
            <w:r/>
            <w:r>
              <w:rPr>
                <w:rFonts w:ascii="Aptos" w:hAnsi="Aptos" w:eastAsia="Aptos"/>
                <w:b w:val="0"/>
                <w:color w:val="302B31"/>
                <w:sz w:val="16"/>
              </w:rPr>
              <w:t>Most recent glucose value in the history window.</w:t>
            </w:r>
          </w:p>
        </w:tc>
      </w:tr>
      <w:tr>
        <w:trPr>
          <w:cantSplit/>
        </w:trPr>
        <w:tc>
          <w:tcPr>
            <w:tcW w:type="dxa" w:w="208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`g_mean`</w:t>
            </w:r>
          </w:p>
        </w:tc>
        <w:tc>
          <w:tcPr>
            <w:tcW w:type="dxa" w:w="813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Average glucose during the history window.</w:t>
            </w:r>
          </w:p>
        </w:tc>
      </w:tr>
      <w:tr>
        <w:trPr>
          <w:cantSplit/>
        </w:trPr>
        <w:tc>
          <w:tcPr>
            <w:tcW w:type="dxa" w:w="2088"/>
            <w:vAlign w:val="center"/>
            <w:tcMar>
              <w:top w:w="90" w:type="dxa"/>
              <w:start w:w="100" w:type="dxa"/>
              <w:bottom w:w="90" w:type="dxa"/>
              <w:end w:w="100" w:type="dxa"/>
            </w:tcMar>
          </w:tcPr>
          <w:p>
            <w:pPr>
              <w:spacing w:after="0" w:line="240" w:lineRule="auto"/>
            </w:pPr>
            <w:r/>
            <w:r>
              <w:rPr>
                <w:rFonts w:ascii="Aptos" w:hAnsi="Aptos" w:eastAsia="Aptos"/>
                <w:b w:val="0"/>
                <w:color w:val="302B31"/>
                <w:sz w:val="16"/>
              </w:rPr>
              <w:t>`g_std`</w:t>
            </w:r>
          </w:p>
        </w:tc>
        <w:tc>
          <w:tcPr>
            <w:tcW w:type="dxa" w:w="8136"/>
            <w:vAlign w:val="center"/>
            <w:tcMar>
              <w:top w:w="90" w:type="dxa"/>
              <w:start w:w="100" w:type="dxa"/>
              <w:bottom w:w="90" w:type="dxa"/>
              <w:end w:w="100" w:type="dxa"/>
            </w:tcMar>
          </w:tcPr>
          <w:p>
            <w:pPr>
              <w:spacing w:after="0" w:line="240" w:lineRule="auto"/>
            </w:pPr>
            <w:r/>
            <w:r>
              <w:rPr>
                <w:rFonts w:ascii="Aptos" w:hAnsi="Aptos" w:eastAsia="Aptos"/>
                <w:b w:val="0"/>
                <w:color w:val="302B31"/>
                <w:sz w:val="16"/>
              </w:rPr>
              <w:t>Variation/standard deviation of glucose.</w:t>
            </w:r>
          </w:p>
        </w:tc>
      </w:tr>
      <w:tr>
        <w:trPr>
          <w:cantSplit/>
        </w:trPr>
        <w:tc>
          <w:tcPr>
            <w:tcW w:type="dxa" w:w="208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`g_min`, `g_max`</w:t>
            </w:r>
          </w:p>
        </w:tc>
        <w:tc>
          <w:tcPr>
            <w:tcW w:type="dxa" w:w="813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Lowest and highest glucose in the window.</w:t>
            </w:r>
          </w:p>
        </w:tc>
      </w:tr>
      <w:tr>
        <w:trPr>
          <w:cantSplit/>
        </w:trPr>
        <w:tc>
          <w:tcPr>
            <w:tcW w:type="dxa" w:w="2088"/>
            <w:vAlign w:val="center"/>
            <w:tcMar>
              <w:top w:w="90" w:type="dxa"/>
              <w:start w:w="100" w:type="dxa"/>
              <w:bottom w:w="90" w:type="dxa"/>
              <w:end w:w="100" w:type="dxa"/>
            </w:tcMar>
          </w:tcPr>
          <w:p>
            <w:pPr>
              <w:spacing w:after="0" w:line="240" w:lineRule="auto"/>
            </w:pPr>
            <w:r/>
            <w:r>
              <w:rPr>
                <w:rFonts w:ascii="Aptos" w:hAnsi="Aptos" w:eastAsia="Aptos"/>
                <w:b w:val="0"/>
                <w:color w:val="302B31"/>
                <w:sz w:val="16"/>
              </w:rPr>
              <w:t>`g_delta15`</w:t>
            </w:r>
          </w:p>
        </w:tc>
        <w:tc>
          <w:tcPr>
            <w:tcW w:type="dxa" w:w="8136"/>
            <w:vAlign w:val="center"/>
            <w:tcMar>
              <w:top w:w="90" w:type="dxa"/>
              <w:start w:w="100" w:type="dxa"/>
              <w:bottom w:w="90" w:type="dxa"/>
              <w:end w:w="100" w:type="dxa"/>
            </w:tcMar>
          </w:tcPr>
          <w:p>
            <w:pPr>
              <w:spacing w:after="0" w:line="240" w:lineRule="auto"/>
            </w:pPr>
            <w:r/>
            <w:r>
              <w:rPr>
                <w:rFonts w:ascii="Aptos" w:hAnsi="Aptos" w:eastAsia="Aptos"/>
                <w:b w:val="0"/>
                <w:color w:val="302B31"/>
                <w:sz w:val="16"/>
              </w:rPr>
              <w:t>Change from the glucose value four five-minute samples back (roughly 15 minutes earlier).</w:t>
            </w:r>
          </w:p>
        </w:tc>
      </w:tr>
      <w:tr>
        <w:trPr>
          <w:cantSplit/>
        </w:trPr>
        <w:tc>
          <w:tcPr>
            <w:tcW w:type="dxa" w:w="208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`g_slope`</w:t>
            </w:r>
          </w:p>
        </w:tc>
        <w:tc>
          <w:tcPr>
            <w:tcW w:type="dxa" w:w="813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Estimated linear trend/slope in glucose over the window.</w:t>
            </w:r>
          </w:p>
        </w:tc>
      </w:tr>
      <w:tr>
        <w:trPr>
          <w:cantSplit/>
        </w:trPr>
        <w:tc>
          <w:tcPr>
            <w:tcW w:type="dxa" w:w="2088"/>
            <w:vAlign w:val="center"/>
            <w:tcMar>
              <w:top w:w="90" w:type="dxa"/>
              <w:start w:w="100" w:type="dxa"/>
              <w:bottom w:w="90" w:type="dxa"/>
              <w:end w:w="100" w:type="dxa"/>
            </w:tcMar>
          </w:tcPr>
          <w:p>
            <w:pPr>
              <w:spacing w:after="0" w:line="240" w:lineRule="auto"/>
            </w:pPr>
            <w:r/>
            <w:r>
              <w:rPr>
                <w:rFonts w:ascii="Aptos" w:hAnsi="Aptos" w:eastAsia="Aptos"/>
                <w:b w:val="0"/>
                <w:color w:val="302B31"/>
                <w:sz w:val="16"/>
              </w:rPr>
              <w:t>`hr_mean`</w:t>
            </w:r>
          </w:p>
        </w:tc>
        <w:tc>
          <w:tcPr>
            <w:tcW w:type="dxa" w:w="8136"/>
            <w:vAlign w:val="center"/>
            <w:tcMar>
              <w:top w:w="90" w:type="dxa"/>
              <w:start w:w="100" w:type="dxa"/>
              <w:bottom w:w="90" w:type="dxa"/>
              <w:end w:w="100" w:type="dxa"/>
            </w:tcMar>
          </w:tcPr>
          <w:p>
            <w:pPr>
              <w:spacing w:after="0" w:line="240" w:lineRule="auto"/>
            </w:pPr>
            <w:r/>
            <w:r>
              <w:rPr>
                <w:rFonts w:ascii="Aptos" w:hAnsi="Aptos" w:eastAsia="Aptos"/>
                <w:b w:val="0"/>
                <w:color w:val="302B31"/>
                <w:sz w:val="16"/>
              </w:rPr>
              <w:t>Average heart rate from the available window.</w:t>
            </w:r>
          </w:p>
        </w:tc>
      </w:tr>
      <w:tr>
        <w:trPr>
          <w:cantSplit/>
        </w:trPr>
        <w:tc>
          <w:tcPr>
            <w:tcW w:type="dxa" w:w="208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`steps_sum`</w:t>
            </w:r>
          </w:p>
        </w:tc>
        <w:tc>
          <w:tcPr>
            <w:tcW w:type="dxa" w:w="813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Sum of steps values across the available samples.</w:t>
            </w:r>
          </w:p>
        </w:tc>
      </w:tr>
      <w:tr>
        <w:trPr>
          <w:cantSplit/>
        </w:trPr>
        <w:tc>
          <w:tcPr>
            <w:tcW w:type="dxa" w:w="2088"/>
            <w:vAlign w:val="center"/>
            <w:tcMar>
              <w:top w:w="90" w:type="dxa"/>
              <w:start w:w="100" w:type="dxa"/>
              <w:bottom w:w="90" w:type="dxa"/>
              <w:end w:w="100" w:type="dxa"/>
            </w:tcMar>
          </w:tcPr>
          <w:p>
            <w:pPr>
              <w:spacing w:after="0" w:line="240" w:lineRule="auto"/>
            </w:pPr>
            <w:r/>
            <w:r>
              <w:rPr>
                <w:rFonts w:ascii="Aptos" w:hAnsi="Aptos" w:eastAsia="Aptos"/>
                <w:b w:val="0"/>
                <w:color w:val="302B31"/>
                <w:sz w:val="16"/>
              </w:rPr>
              <w:t>`hour_sin`, `hour_cos`</w:t>
            </w:r>
          </w:p>
        </w:tc>
        <w:tc>
          <w:tcPr>
            <w:tcW w:type="dxa" w:w="8136"/>
            <w:vAlign w:val="center"/>
            <w:tcMar>
              <w:top w:w="90" w:type="dxa"/>
              <w:start w:w="100" w:type="dxa"/>
              <w:bottom w:w="90" w:type="dxa"/>
              <w:end w:w="100" w:type="dxa"/>
            </w:tcMar>
          </w:tcPr>
          <w:p>
            <w:pPr>
              <w:spacing w:after="0" w:line="240" w:lineRule="auto"/>
            </w:pPr>
            <w:r/>
            <w:r>
              <w:rPr>
                <w:rFonts w:ascii="Aptos" w:hAnsi="Aptos" w:eastAsia="Aptos"/>
                <w:b w:val="0"/>
                <w:color w:val="302B31"/>
                <w:sz w:val="16"/>
              </w:rPr>
              <w:t>Cyclic encoding of time of day, so adjacent hours near midnight are represented sensibly.</w:t>
            </w:r>
          </w:p>
        </w:tc>
      </w:tr>
      <w:tr>
        <w:trPr>
          <w:cantSplit/>
        </w:trPr>
        <w:tc>
          <w:tcPr>
            <w:tcW w:type="dxa" w:w="208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`hba1c`</w:t>
            </w:r>
          </w:p>
        </w:tc>
        <w:tc>
          <w:tcPr>
            <w:tcW w:type="dxa" w:w="813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Latest verified HbA1c measurement.</w:t>
            </w:r>
          </w:p>
        </w:tc>
      </w:tr>
    </w:tbl>
    <w:p>
      <w:pPr>
        <w:spacing w:after="0"/>
      </w:pPr>
    </w:p>
    <w:p>
      <w:pPr>
        <w:pStyle w:val="Heading2"/>
        <w:keepNext/>
      </w:pPr>
      <w:r>
        <w:t>Model training setup</w:t>
      </w:r>
    </w:p>
    <w:p>
      <w:pPr>
        <w:pStyle w:val="ListBullet"/>
        <w:spacing w:after="40"/>
      </w:pPr>
      <w:r>
        <w:t>Synthetic generator: `naari/synth.py`, seed 7; 40 fictional patients, 14 days and five-minute sampling.</w:t>
      </w:r>
    </w:p>
    <w:p>
      <w:pPr>
        <w:pStyle w:val="ListBullet"/>
        <w:spacing w:after="40"/>
      </w:pPr>
      <w:r>
        <w:t>The code creates glucose patterns with simulated meal-like responses, a patient-level latent factor, correlated noise, and generated heart-rate/steps values.</w:t>
      </w:r>
    </w:p>
    <w:p>
      <w:pPr>
        <w:pStyle w:val="ListBullet"/>
        <w:spacing w:after="40"/>
      </w:pPr>
      <w:r>
        <w:t>A baseline logistic-regression pipeline uses current glucose (`g_last`) only.</w:t>
      </w:r>
    </w:p>
    <w:p>
      <w:pPr>
        <w:pStyle w:val="ListBullet"/>
        <w:spacing w:after="40"/>
      </w:pPr>
      <w:r>
        <w:t>The main classifier is scikit-learn `GradientBoostingClassifier` with 150 estimators/trees and maximum depth 3.</w:t>
      </w:r>
    </w:p>
    <w:p>
      <w:pPr>
        <w:pStyle w:val="ListBullet"/>
        <w:spacing w:after="40"/>
      </w:pPr>
      <w:r>
        <w:t>Patient grouping is used for train/test separation: the model card records 30 training patients and 10 held-out test patients. This avoids randomly splitting overlapping windows from the same patient across both sets.</w:t>
      </w:r>
    </w:p>
    <w:p>
      <w:pPr>
        <w:pStyle w:val="Heading2"/>
        <w:keepNext/>
      </w:pPr>
      <w:r>
        <w:t>Reported synthetic metrics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440"/>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Metric</w:t>
            </w:r>
          </w:p>
        </w:tc>
        <w:tc>
          <w:tcPr>
            <w:tcW w:type="dxa" w:w="1800"/>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Gradient boosting</w:t>
            </w:r>
          </w:p>
        </w:tc>
        <w:tc>
          <w:tcPr>
            <w:tcW w:type="dxa" w:w="2088"/>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Baseline logistic regression</w:t>
            </w:r>
          </w:p>
        </w:tc>
        <w:tc>
          <w:tcPr>
            <w:tcW w:type="dxa" w:w="4824"/>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What it means</w:t>
            </w:r>
          </w:p>
        </w:tc>
      </w:tr>
      <w:tr>
        <w:trPr>
          <w:cantSplit/>
        </w:trPr>
        <w:tc>
          <w:tcPr>
            <w:tcW w:type="dxa" w:w="144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AUROC</w:t>
            </w:r>
          </w:p>
        </w:tc>
        <w:tc>
          <w:tcPr>
            <w:tcW w:type="dxa" w:w="180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0.978</w:t>
            </w:r>
          </w:p>
        </w:tc>
        <w:tc>
          <w:tcPr>
            <w:tcW w:type="dxa" w:w="2088"/>
            <w:vAlign w:val="center"/>
            <w:tcMar>
              <w:top w:w="90" w:type="dxa"/>
              <w:start w:w="100" w:type="dxa"/>
              <w:bottom w:w="90" w:type="dxa"/>
              <w:end w:w="100" w:type="dxa"/>
            </w:tcMar>
          </w:tcPr>
          <w:p>
            <w:pPr>
              <w:spacing w:after="0" w:line="240" w:lineRule="auto"/>
            </w:pPr>
            <w:r/>
            <w:r>
              <w:rPr>
                <w:rFonts w:ascii="Aptos" w:hAnsi="Aptos" w:eastAsia="Aptos"/>
                <w:b w:val="0"/>
                <w:color w:val="302B31"/>
                <w:sz w:val="15"/>
              </w:rPr>
              <w:t>0.461</w:t>
            </w:r>
          </w:p>
        </w:tc>
        <w:tc>
          <w:tcPr>
            <w:tcW w:type="dxa" w:w="4824"/>
            <w:vAlign w:val="center"/>
            <w:tcMar>
              <w:top w:w="90" w:type="dxa"/>
              <w:start w:w="100" w:type="dxa"/>
              <w:bottom w:w="90" w:type="dxa"/>
              <w:end w:w="100" w:type="dxa"/>
            </w:tcMar>
          </w:tcPr>
          <w:p>
            <w:pPr>
              <w:spacing w:after="0" w:line="240" w:lineRule="auto"/>
            </w:pPr>
            <w:r/>
            <w:r>
              <w:rPr>
                <w:rFonts w:ascii="Aptos" w:hAnsi="Aptos" w:eastAsia="Aptos"/>
                <w:b w:val="0"/>
                <w:color w:val="302B31"/>
                <w:sz w:val="15"/>
              </w:rPr>
              <w:t>Ranking separation between positive and negative windows; not proof of clinical utility.</w:t>
            </w:r>
          </w:p>
        </w:tc>
      </w:tr>
      <w:tr>
        <w:trPr>
          <w:cantSplit/>
        </w:trPr>
        <w:tc>
          <w:tcPr>
            <w:tcW w:type="dxa" w:w="144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AUPRC</w:t>
            </w:r>
          </w:p>
        </w:tc>
        <w:tc>
          <w:tcPr>
            <w:tcW w:type="dxa" w:w="180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0.889</w:t>
            </w:r>
          </w:p>
        </w:tc>
        <w:tc>
          <w:tcPr>
            <w:tcW w:type="dxa" w:w="208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0.139</w:t>
            </w:r>
          </w:p>
        </w:tc>
        <w:tc>
          <w:tcPr>
            <w:tcW w:type="dxa" w:w="482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Precision-recall performance; depends strongly on event prevalence.</w:t>
            </w:r>
          </w:p>
        </w:tc>
      </w:tr>
      <w:tr>
        <w:trPr>
          <w:cantSplit/>
        </w:trPr>
        <w:tc>
          <w:tcPr>
            <w:tcW w:type="dxa" w:w="144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Recall</w:t>
            </w:r>
          </w:p>
        </w:tc>
        <w:tc>
          <w:tcPr>
            <w:tcW w:type="dxa" w:w="180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0.736</w:t>
            </w:r>
          </w:p>
        </w:tc>
        <w:tc>
          <w:tcPr>
            <w:tcW w:type="dxa" w:w="2088"/>
            <w:vAlign w:val="center"/>
            <w:tcMar>
              <w:top w:w="90" w:type="dxa"/>
              <w:start w:w="100" w:type="dxa"/>
              <w:bottom w:w="90" w:type="dxa"/>
              <w:end w:w="100" w:type="dxa"/>
            </w:tcMar>
          </w:tcPr>
          <w:p>
            <w:pPr>
              <w:spacing w:after="0" w:line="240" w:lineRule="auto"/>
            </w:pPr>
            <w:r/>
            <w:r>
              <w:rPr>
                <w:rFonts w:ascii="Aptos" w:hAnsi="Aptos" w:eastAsia="Aptos"/>
                <w:b w:val="0"/>
                <w:color w:val="302B31"/>
                <w:sz w:val="15"/>
              </w:rPr>
              <w:t>0.000</w:t>
            </w:r>
          </w:p>
        </w:tc>
        <w:tc>
          <w:tcPr>
            <w:tcW w:type="dxa" w:w="4824"/>
            <w:vAlign w:val="center"/>
            <w:tcMar>
              <w:top w:w="90" w:type="dxa"/>
              <w:start w:w="100" w:type="dxa"/>
              <w:bottom w:w="90" w:type="dxa"/>
              <w:end w:w="100" w:type="dxa"/>
            </w:tcMar>
          </w:tcPr>
          <w:p>
            <w:pPr>
              <w:spacing w:after="0" w:line="240" w:lineRule="auto"/>
            </w:pPr>
            <w:r/>
            <w:r>
              <w:rPr>
                <w:rFonts w:ascii="Aptos" w:hAnsi="Aptos" w:eastAsia="Aptos"/>
                <w:b w:val="0"/>
                <w:color w:val="302B31"/>
                <w:sz w:val="15"/>
              </w:rPr>
              <w:t>At the configured 0.5 threshold, fraction of positive cases detected on the synthetic test set.</w:t>
            </w:r>
          </w:p>
        </w:tc>
      </w:tr>
      <w:tr>
        <w:trPr>
          <w:cantSplit/>
        </w:trPr>
        <w:tc>
          <w:tcPr>
            <w:tcW w:type="dxa" w:w="144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Precision</w:t>
            </w:r>
          </w:p>
        </w:tc>
        <w:tc>
          <w:tcPr>
            <w:tcW w:type="dxa" w:w="180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0.858</w:t>
            </w:r>
          </w:p>
        </w:tc>
        <w:tc>
          <w:tcPr>
            <w:tcW w:type="dxa" w:w="208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0.000</w:t>
            </w:r>
          </w:p>
        </w:tc>
        <w:tc>
          <w:tcPr>
            <w:tcW w:type="dxa" w:w="482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At the configured threshold, fraction of predicted positives that were positive in synthetic labels.</w:t>
            </w:r>
          </w:p>
        </w:tc>
      </w:tr>
      <w:tr>
        <w:trPr>
          <w:cantSplit/>
        </w:trPr>
        <w:tc>
          <w:tcPr>
            <w:tcW w:type="dxa" w:w="144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Brier score</w:t>
            </w:r>
          </w:p>
        </w:tc>
        <w:tc>
          <w:tcPr>
            <w:tcW w:type="dxa" w:w="180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0.046</w:t>
            </w:r>
          </w:p>
        </w:tc>
        <w:tc>
          <w:tcPr>
            <w:tcW w:type="dxa" w:w="2088"/>
            <w:vAlign w:val="center"/>
            <w:tcMar>
              <w:top w:w="90" w:type="dxa"/>
              <w:start w:w="100" w:type="dxa"/>
              <w:bottom w:w="90" w:type="dxa"/>
              <w:end w:w="100" w:type="dxa"/>
            </w:tcMar>
          </w:tcPr>
          <w:p>
            <w:pPr>
              <w:spacing w:after="0" w:line="240" w:lineRule="auto"/>
            </w:pPr>
            <w:r/>
            <w:r>
              <w:rPr>
                <w:rFonts w:ascii="Aptos" w:hAnsi="Aptos" w:eastAsia="Aptos"/>
                <w:b w:val="0"/>
                <w:color w:val="302B31"/>
                <w:sz w:val="15"/>
              </w:rPr>
              <w:t>0.138</w:t>
            </w:r>
          </w:p>
        </w:tc>
        <w:tc>
          <w:tcPr>
            <w:tcW w:type="dxa" w:w="4824"/>
            <w:vAlign w:val="center"/>
            <w:tcMar>
              <w:top w:w="90" w:type="dxa"/>
              <w:start w:w="100" w:type="dxa"/>
              <w:bottom w:w="90" w:type="dxa"/>
              <w:end w:w="100" w:type="dxa"/>
            </w:tcMar>
          </w:tcPr>
          <w:p>
            <w:pPr>
              <w:spacing w:after="0" w:line="240" w:lineRule="auto"/>
            </w:pPr>
            <w:r/>
            <w:r>
              <w:rPr>
                <w:rFonts w:ascii="Aptos" w:hAnsi="Aptos" w:eastAsia="Aptos"/>
                <w:b w:val="0"/>
                <w:color w:val="302B31"/>
                <w:sz w:val="15"/>
              </w:rPr>
              <w:t>Mean squared error of predicted probability versus binary outcome; lower is better but is not calibration proof here.</w:t>
            </w:r>
          </w:p>
        </w:tc>
      </w:tr>
      <w:tr>
        <w:trPr>
          <w:cantSplit/>
        </w:trPr>
        <w:tc>
          <w:tcPr>
            <w:tcW w:type="dxa" w:w="144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Test windows</w:t>
            </w:r>
          </w:p>
        </w:tc>
        <w:tc>
          <w:tcPr>
            <w:tcW w:type="dxa" w:w="180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6,022</w:t>
            </w:r>
          </w:p>
        </w:tc>
        <w:tc>
          <w:tcPr>
            <w:tcW w:type="dxa" w:w="208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6,022</w:t>
            </w:r>
          </w:p>
        </w:tc>
        <w:tc>
          <w:tcPr>
            <w:tcW w:type="dxa" w:w="482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Windows from the synthetic held-out patient split.</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FBF5EA"/>
            <w:tcMar>
              <w:top w:w="140" w:type="dxa"/>
              <w:start w:w="180" w:type="dxa"/>
              <w:bottom w:w="140" w:type="dxa"/>
              <w:end w:w="180" w:type="dxa"/>
            </w:tcMar>
          </w:tcPr>
          <w:p>
            <w:pPr>
              <w:spacing w:after="60"/>
            </w:pPr>
            <w:r/>
            <w:r>
              <w:rPr>
                <w:b/>
                <w:color w:val="594052"/>
                <w:sz w:val="20"/>
              </w:rPr>
              <w:t>Critical interpretation</w:t>
            </w:r>
          </w:p>
          <w:p>
            <w:pPr>
              <w:spacing w:after="0" w:line="252" w:lineRule="auto"/>
            </w:pPr>
            <w:r>
              <w:rPr>
                <w:color w:val="302B31"/>
                <w:sz w:val="18"/>
              </w:rPr>
              <w:t>The synthetic generator makes HbA1c and the size of simulated meal responses depend on a hidden variable. The model can learn patterns built into the generator, which helps explain the high synthetic test metrics. The model card explicitly says these metrics say nothing about real-world clinical performance. Outputs are uncalibrated scores, no uncertainty interval is provided, and the model is not intended for diagnosis or treatment decisions.</w:t>
            </w:r>
          </w:p>
        </w:tc>
      </w:tr>
    </w:tbl>
    <w:p>
      <w:pPr>
        <w:spacing w:after="0"/>
      </w:pPr>
    </w:p>
    <w:p>
      <w:pPr>
        <w:pStyle w:val="Heading1"/>
        <w:keepNext/>
      </w:pPr>
      <w:r>
        <w:t>10. Report extraction and data validation</w:t>
      </w:r>
    </w:p>
    <w:p>
      <w:pPr>
        <w:pStyle w:val="Heading2"/>
        <w:keepNext/>
      </w:pPr>
      <w:r>
        <w:t>Supported report/file formats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Input</w:t>
            </w:r>
          </w:p>
        </w:tc>
        <w:tc>
          <w:tcPr>
            <w:tcW w:type="dxa" w:w="4320"/>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Processing path</w:t>
            </w:r>
          </w:p>
        </w:tc>
        <w:tc>
          <w:tcPr>
            <w:tcW w:type="dxa" w:w="4032"/>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Important caveat</w:t>
            </w:r>
          </w:p>
        </w:tc>
      </w:tr>
      <w:tr>
        <w:trPr>
          <w:cantSplit/>
        </w:trPr>
        <w:tc>
          <w:tcPr>
            <w:tcW w:type="dxa" w:w="180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PDF</w:t>
            </w:r>
          </w:p>
        </w:tc>
        <w:tc>
          <w:tcPr>
            <w:tcW w:type="dxa" w:w="432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Use a PDF text layer through pdfplumber. If a page has very little text, render it for OCR at 200 dpi using Tesseract.</w:t>
            </w:r>
          </w:p>
        </w:tc>
        <w:tc>
          <w:tcPr>
            <w:tcW w:type="dxa" w:w="4032"/>
            <w:vAlign w:val="center"/>
            <w:tcMar>
              <w:top w:w="90" w:type="dxa"/>
              <w:start w:w="100" w:type="dxa"/>
              <w:bottom w:w="90" w:type="dxa"/>
              <w:end w:w="100" w:type="dxa"/>
            </w:tcMar>
          </w:tcPr>
          <w:p>
            <w:pPr>
              <w:spacing w:after="0" w:line="240" w:lineRule="auto"/>
            </w:pPr>
            <w:r/>
            <w:r>
              <w:rPr>
                <w:rFonts w:ascii="Aptos" w:hAnsi="Aptos" w:eastAsia="Aptos"/>
                <w:b w:val="0"/>
                <w:color w:val="302B31"/>
                <w:sz w:val="15"/>
              </w:rPr>
              <w:t>Text extraction/parsing can miss or misread content; always compare extracted candidates with the document.</w:t>
            </w:r>
          </w:p>
        </w:tc>
      </w:tr>
      <w:tr>
        <w:trPr>
          <w:cantSplit/>
        </w:trPr>
        <w:tc>
          <w:tcPr>
            <w:tcW w:type="dxa" w:w="180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PNG/JPG scan</w:t>
            </w:r>
          </w:p>
        </w:tc>
        <w:tc>
          <w:tcPr>
            <w:tcW w:type="dxa" w:w="432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Tesseract OCR reads image text. Pillow opens image files.</w:t>
            </w:r>
          </w:p>
        </w:tc>
        <w:tc>
          <w:tcPr>
            <w:tcW w:type="dxa" w:w="4032"/>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OCR is a suggestion mechanism, not verification.</w:t>
            </w:r>
          </w:p>
        </w:tc>
      </w:tr>
      <w:tr>
        <w:trPr>
          <w:cantSplit/>
        </w:trPr>
        <w:tc>
          <w:tcPr>
            <w:tcW w:type="dxa" w:w="180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CSV/JSON clinical results</w:t>
            </w:r>
          </w:p>
        </w:tc>
        <w:tc>
          <w:tcPr>
            <w:tcW w:type="dxa" w:w="432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Structured parser expects at least `test` and `value` columns/fields; unit/date/reference bounds/flag may also be supplied.</w:t>
            </w:r>
          </w:p>
        </w:tc>
        <w:tc>
          <w:tcPr>
            <w:tcW w:type="dxa" w:w="4032"/>
            <w:vAlign w:val="center"/>
            <w:tcMar>
              <w:top w:w="90" w:type="dxa"/>
              <w:start w:w="100" w:type="dxa"/>
              <w:bottom w:w="90" w:type="dxa"/>
              <w:end w:w="100" w:type="dxa"/>
            </w:tcMar>
          </w:tcPr>
          <w:p>
            <w:pPr>
              <w:spacing w:after="0" w:line="240" w:lineRule="auto"/>
            </w:pPr>
            <w:r/>
            <w:r>
              <w:rPr>
                <w:rFonts w:ascii="Aptos" w:hAnsi="Aptos" w:eastAsia="Aptos"/>
                <w:b w:val="0"/>
                <w:color w:val="302B31"/>
                <w:sz w:val="15"/>
              </w:rPr>
              <w:t>Malformed structured files generate a parse error; candidate fields still require review.</w:t>
            </w:r>
          </w:p>
        </w:tc>
      </w:tr>
      <w:tr>
        <w:trPr>
          <w:cantSplit/>
        </w:trPr>
        <w:tc>
          <w:tcPr>
            <w:tcW w:type="dxa" w:w="180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CSV time-series</w:t>
            </w:r>
          </w:p>
        </w:tc>
        <w:tc>
          <w:tcPr>
            <w:tcW w:type="dxa" w:w="432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CSV parser looks for a timestamp/ts/time/datetime column and supported metric columns.</w:t>
            </w:r>
          </w:p>
        </w:tc>
        <w:tc>
          <w:tcPr>
            <w:tcW w:type="dxa" w:w="4032"/>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Timezone-less timestamps are interpreted as UTC with an issue note.</w:t>
            </w:r>
          </w:p>
        </w:tc>
      </w:tr>
    </w:tbl>
    <w:p>
      <w:pPr>
        <w:spacing w:after="0"/>
      </w:pPr>
    </w:p>
    <w:p>
      <w:pPr>
        <w:pStyle w:val="Heading2"/>
        <w:keepNext/>
      </w:pPr>
      <w:r>
        <w:t>Candidate field lifecycle</w:t>
      </w:r>
    </w:p>
    <w:p>
      <w:pPr>
        <w:spacing w:after="60"/>
        <w:ind w:left="461" w:hanging="374"/>
      </w:pPr>
      <w:r>
        <w:rPr>
          <w:b/>
        </w:rPr>
        <w:t xml:space="preserve">1. </w:t>
      </w:r>
      <w:r>
        <w:t>Upload the file and store it linked to a patient.</w:t>
      </w:r>
    </w:p>
    <w:p>
      <w:pPr>
        <w:spacing w:after="60"/>
        <w:ind w:left="461" w:hanging="374"/>
      </w:pPr>
      <w:r>
        <w:rPr>
          <w:b/>
        </w:rPr>
        <w:t xml:space="preserve">2. </w:t>
      </w:r>
      <w:r>
        <w:t>Extract text and candidate fields (for PDFs or images) or parse structured rows.</w:t>
      </w:r>
    </w:p>
    <w:p>
      <w:pPr>
        <w:spacing w:after="60"/>
        <w:ind w:left="461" w:hanging="374"/>
      </w:pPr>
      <w:r>
        <w:rPr>
          <w:b/>
        </w:rPr>
        <w:t xml:space="preserve">3. </w:t>
      </w:r>
      <w:r>
        <w:t>Create fields with a pending status. The app does not automatically approve OCR values.</w:t>
      </w:r>
    </w:p>
    <w:p>
      <w:pPr>
        <w:spacing w:after="60"/>
        <w:ind w:left="461" w:hanging="374"/>
      </w:pPr>
      <w:r>
        <w:rPr>
          <w:b/>
        </w:rPr>
        <w:t xml:space="preserve">4. </w:t>
      </w:r>
      <w:r>
        <w:t>Reviewer compares candidate fields to the original; fixes misread test names or dates, units, results, reference ranges or flags.</w:t>
      </w:r>
    </w:p>
    <w:p>
      <w:pPr>
        <w:spacing w:after="60"/>
        <w:ind w:left="461" w:hanging="374"/>
      </w:pPr>
      <w:r>
        <w:rPr>
          <w:b/>
        </w:rPr>
        <w:t xml:space="preserve">5. </w:t>
      </w:r>
      <w:r>
        <w:t>Approval validates numeric result, non-empty test name/unit, and a valid ISO date. The approved value becomes a verified measurement with source document/page.</w:t>
      </w:r>
    </w:p>
    <w:p>
      <w:pPr>
        <w:spacing w:after="60"/>
        <w:ind w:left="461" w:hanging="374"/>
      </w:pPr>
      <w:r>
        <w:rPr>
          <w:b/>
        </w:rPr>
        <w:t xml:space="preserve">6. </w:t>
      </w:r>
      <w:r>
        <w:t>Rejection marks the candidate rejected and does not add it to verified measurements.</w:t>
      </w:r>
    </w:p>
    <w:p>
      <w:pPr>
        <w:pStyle w:val="Heading2"/>
        <w:keepNext/>
      </w:pPr>
      <w:r>
        <w:t>Known example: HbA1c OCR issue</w:t>
      </w:r>
    </w:p>
    <w:p>
      <w:r>
        <w:t>The scanned synthetic sample can misread “HbA1c” as “HbAIc” (capital letter I). The user must correct the extracted test name to the intended source text and then approve it. Until a verified HbA1c is actually recorded, the prediction gate says it is missing. This is an intentional demonstration of why extracted text is reviewed rather than trusted automatically.</w:t>
      </w:r>
    </w:p>
    <w:p>
      <w:pPr>
        <w:pStyle w:val="Heading2"/>
        <w:keepNext/>
      </w:pPr>
      <w:r>
        <w:t>Time-series import validation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Check</w:t>
            </w:r>
          </w:p>
        </w:tc>
        <w:tc>
          <w:tcPr>
            <w:tcW w:type="dxa" w:w="7992"/>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How NAARI handles it</w:t>
            </w:r>
          </w:p>
        </w:tc>
      </w:tr>
      <w:tr>
        <w:trPr>
          <w:cantSplit/>
        </w:trPr>
        <w:tc>
          <w:tcPr>
            <w:tcW w:type="dxa" w:w="2160"/>
            <w:vAlign w:val="center"/>
            <w:tcMar>
              <w:top w:w="90" w:type="dxa"/>
              <w:start w:w="100" w:type="dxa"/>
              <w:bottom w:w="90" w:type="dxa"/>
              <w:end w:w="100" w:type="dxa"/>
            </w:tcMar>
          </w:tcPr>
          <w:p>
            <w:pPr>
              <w:spacing w:after="0" w:line="240" w:lineRule="auto"/>
            </w:pPr>
            <w:r/>
            <w:r>
              <w:rPr>
                <w:rFonts w:ascii="Aptos" w:hAnsi="Aptos" w:eastAsia="Aptos"/>
                <w:b w:val="0"/>
                <w:color w:val="302B31"/>
                <w:sz w:val="16"/>
              </w:rPr>
              <w:t>Timestamps</w:t>
            </w:r>
          </w:p>
        </w:tc>
        <w:tc>
          <w:tcPr>
            <w:tcW w:type="dxa" w:w="7992"/>
            <w:vAlign w:val="center"/>
            <w:tcMar>
              <w:top w:w="90" w:type="dxa"/>
              <w:start w:w="100" w:type="dxa"/>
              <w:bottom w:w="90" w:type="dxa"/>
              <w:end w:w="100" w:type="dxa"/>
            </w:tcMar>
          </w:tcPr>
          <w:p>
            <w:pPr>
              <w:spacing w:after="0" w:line="240" w:lineRule="auto"/>
            </w:pPr>
            <w:r/>
            <w:r>
              <w:rPr>
                <w:rFonts w:ascii="Aptos" w:hAnsi="Aptos" w:eastAsia="Aptos"/>
                <w:b w:val="0"/>
                <w:color w:val="302B31"/>
                <w:sz w:val="16"/>
              </w:rPr>
              <w:t>Parses timestamps; flags the count of invalid timestamps; treats timestamps without timezone as UTC and reports the issue.</w:t>
            </w:r>
          </w:p>
        </w:tc>
      </w:tr>
      <w:tr>
        <w:trPr>
          <w:cantSplit/>
        </w:trPr>
        <w:tc>
          <w:tcPr>
            <w:tcW w:type="dxa" w:w="216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Missing values</w:t>
            </w:r>
          </w:p>
        </w:tc>
        <w:tc>
          <w:tcPr>
            <w:tcW w:type="dxa" w:w="7992"/>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Counts missing values in imported metric columns.</w:t>
            </w:r>
          </w:p>
        </w:tc>
      </w:tr>
      <w:tr>
        <w:trPr>
          <w:cantSplit/>
        </w:trPr>
        <w:tc>
          <w:tcPr>
            <w:tcW w:type="dxa" w:w="2160"/>
            <w:vAlign w:val="center"/>
            <w:tcMar>
              <w:top w:w="90" w:type="dxa"/>
              <w:start w:w="100" w:type="dxa"/>
              <w:bottom w:w="90" w:type="dxa"/>
              <w:end w:w="100" w:type="dxa"/>
            </w:tcMar>
          </w:tcPr>
          <w:p>
            <w:pPr>
              <w:spacing w:after="0" w:line="240" w:lineRule="auto"/>
            </w:pPr>
            <w:r/>
            <w:r>
              <w:rPr>
                <w:rFonts w:ascii="Aptos" w:hAnsi="Aptos" w:eastAsia="Aptos"/>
                <w:b w:val="0"/>
                <w:color w:val="302B31"/>
                <w:sz w:val="16"/>
              </w:rPr>
              <w:t>Duplicates</w:t>
            </w:r>
          </w:p>
        </w:tc>
        <w:tc>
          <w:tcPr>
            <w:tcW w:type="dxa" w:w="7992"/>
            <w:vAlign w:val="center"/>
            <w:tcMar>
              <w:top w:w="90" w:type="dxa"/>
              <w:start w:w="100" w:type="dxa"/>
              <w:bottom w:w="90" w:type="dxa"/>
              <w:end w:w="100" w:type="dxa"/>
            </w:tcMar>
          </w:tcPr>
          <w:p>
            <w:pPr>
              <w:spacing w:after="0" w:line="240" w:lineRule="auto"/>
            </w:pPr>
            <w:r/>
            <w:r>
              <w:rPr>
                <w:rFonts w:ascii="Aptos" w:hAnsi="Aptos" w:eastAsia="Aptos"/>
                <w:b w:val="0"/>
                <w:color w:val="302B31"/>
                <w:sz w:val="16"/>
              </w:rPr>
              <w:t>Uses patient + metric + timestamp as a unique key; duplicate rows are not inserted twice.</w:t>
            </w:r>
          </w:p>
        </w:tc>
      </w:tr>
      <w:tr>
        <w:trPr>
          <w:cantSplit/>
        </w:trPr>
        <w:tc>
          <w:tcPr>
            <w:tcW w:type="dxa" w:w="216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Plausibility ranges</w:t>
            </w:r>
          </w:p>
        </w:tc>
        <w:tc>
          <w:tcPr>
            <w:tcW w:type="dxa" w:w="7992"/>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Configured ranges exist for glucose, HR, steps, HRV and sleep duration; out-of-range readings are tagged as `out_of_range`.</w:t>
            </w:r>
          </w:p>
        </w:tc>
      </w:tr>
      <w:tr>
        <w:trPr>
          <w:cantSplit/>
        </w:trPr>
        <w:tc>
          <w:tcPr>
            <w:tcW w:type="dxa" w:w="2160"/>
            <w:vAlign w:val="center"/>
            <w:tcMar>
              <w:top w:w="90" w:type="dxa"/>
              <w:start w:w="100" w:type="dxa"/>
              <w:bottom w:w="90" w:type="dxa"/>
              <w:end w:w="100" w:type="dxa"/>
            </w:tcMar>
          </w:tcPr>
          <w:p>
            <w:pPr>
              <w:spacing w:after="0" w:line="240" w:lineRule="auto"/>
            </w:pPr>
            <w:r/>
            <w:r>
              <w:rPr>
                <w:rFonts w:ascii="Aptos" w:hAnsi="Aptos" w:eastAsia="Aptos"/>
                <w:b w:val="0"/>
                <w:color w:val="302B31"/>
                <w:sz w:val="16"/>
              </w:rPr>
              <w:t>Gap checks</w:t>
            </w:r>
          </w:p>
        </w:tc>
        <w:tc>
          <w:tcPr>
            <w:tcW w:type="dxa" w:w="7992"/>
            <w:vAlign w:val="center"/>
            <w:tcMar>
              <w:top w:w="90" w:type="dxa"/>
              <w:start w:w="100" w:type="dxa"/>
              <w:bottom w:w="90" w:type="dxa"/>
              <w:end w:w="100" w:type="dxa"/>
            </w:tcMar>
          </w:tcPr>
          <w:p>
            <w:pPr>
              <w:spacing w:after="0" w:line="240" w:lineRule="auto"/>
            </w:pPr>
            <w:r/>
            <w:r>
              <w:rPr>
                <w:rFonts w:ascii="Aptos" w:hAnsi="Aptos" w:eastAsia="Aptos"/>
                <w:b w:val="0"/>
                <w:color w:val="302B31"/>
                <w:sz w:val="16"/>
              </w:rPr>
              <w:t>Preview reports glucose gaps longer than 15 minutes and the longest detected gap.</w:t>
            </w:r>
          </w:p>
        </w:tc>
      </w:tr>
      <w:tr>
        <w:trPr>
          <w:cantSplit/>
        </w:trPr>
        <w:tc>
          <w:tcPr>
            <w:tcW w:type="dxa" w:w="216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Audit trail</w:t>
            </w:r>
          </w:p>
        </w:tc>
        <w:tc>
          <w:tcPr>
            <w:tcW w:type="dxa" w:w="7992"/>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Import summary is written to the audit table.</w:t>
            </w:r>
          </w:p>
        </w:tc>
      </w:tr>
    </w:tbl>
    <w:p>
      <w:pPr>
        <w:spacing w:after="0"/>
      </w:pPr>
    </w:p>
    <w:p>
      <w:r>
        <w:t>The model’s inference path filters to quality=`ok`, so out-of-range measurements do not enter the valid recent series. The current UI does not connect directly to a live wearable or sensor; users import files.</w:t>
      </w:r>
    </w:p>
    <w:p>
      <w:pPr>
        <w:pStyle w:val="Heading1"/>
        <w:keepNext/>
      </w:pPr>
      <w:r>
        <w:t>11. Doctor Brief: what goes into the export</w:t>
      </w:r>
    </w:p>
    <w:p>
      <w:r>
        <w:t>The Doctor Brief is assembled from the selected patient’s database records at generation time in the full app. It is not intended to be a single score or an automated clinical decision. It is designed to gather evidence and gaps in one place.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Section</w:t>
            </w:r>
          </w:p>
        </w:tc>
        <w:tc>
          <w:tcPr>
            <w:tcW w:type="dxa" w:w="7776"/>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Contents</w:t>
            </w:r>
          </w:p>
        </w:tc>
      </w:tr>
      <w:tr>
        <w:trPr>
          <w:cantSplit/>
        </w:trPr>
        <w:tc>
          <w:tcPr>
            <w:tcW w:type="dxa" w:w="237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Patient and generation metadata</w:t>
            </w:r>
          </w:p>
        </w:tc>
        <w:tc>
          <w:tcPr>
            <w:tcW w:type="dxa" w:w="777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Fictional display name, patient ID, age if recorded, generated date/time, and most recent dated-record context.</w:t>
            </w:r>
          </w:p>
        </w:tc>
      </w:tr>
      <w:tr>
        <w:trPr>
          <w:cantSplit/>
        </w:trPr>
        <w:tc>
          <w:tcPr>
            <w:tcW w:type="dxa" w:w="23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Patient overview</w:t>
            </w:r>
          </w:p>
        </w:tc>
        <w:tc>
          <w:tcPr>
            <w:tcW w:type="dxa" w:w="77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Counts of history entries, verified measurements, period starts, patient-reported symptoms, imported wearable data, Twin status and stored predictions; any recorded diagnosis is explicitly a historical record, not inferred by NAARI.</w:t>
            </w:r>
          </w:p>
        </w:tc>
      </w:tr>
      <w:tr>
        <w:trPr>
          <w:cantSplit/>
        </w:trPr>
        <w:tc>
          <w:tcPr>
            <w:tcW w:type="dxa" w:w="237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Medical history</w:t>
            </w:r>
          </w:p>
        </w:tc>
        <w:tc>
          <w:tcPr>
            <w:tcW w:type="dxa" w:w="777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Dated entries with type and provenance (for example, patient-reported or clinician-confirmed).</w:t>
            </w:r>
          </w:p>
        </w:tc>
      </w:tr>
      <w:tr>
        <w:trPr>
          <w:cantSplit/>
        </w:trPr>
        <w:tc>
          <w:tcPr>
            <w:tcW w:type="dxa" w:w="23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Menstrual-cycle history</w:t>
            </w:r>
          </w:p>
        </w:tc>
        <w:tc>
          <w:tcPr>
            <w:tcW w:type="dxa" w:w="77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Recorded start/end dates, derived bleeding days and intervals between recorded starts, with caveats where data may be incomplete.</w:t>
            </w:r>
          </w:p>
        </w:tc>
      </w:tr>
      <w:tr>
        <w:trPr>
          <w:cantSplit/>
        </w:trPr>
        <w:tc>
          <w:tcPr>
            <w:tcW w:type="dxa" w:w="237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Patient-reported symptoms</w:t>
            </w:r>
          </w:p>
        </w:tc>
        <w:tc>
          <w:tcPr>
            <w:tcW w:type="dxa" w:w="777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Symptom type and entries over time, based on the recorded 0–4 severity scale.</w:t>
            </w:r>
          </w:p>
        </w:tc>
      </w:tr>
      <w:tr>
        <w:trPr>
          <w:cantSplit/>
        </w:trPr>
        <w:tc>
          <w:tcPr>
            <w:tcW w:type="dxa" w:w="23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Clinical measurements</w:t>
            </w:r>
          </w:p>
        </w:tc>
        <w:tc>
          <w:tcPr>
            <w:tcW w:type="dxa" w:w="77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Separate laboratory test and vital-sign tables, with date, value, unit, lab reference range/flag when recorded, status and source.</w:t>
            </w:r>
          </w:p>
        </w:tc>
      </w:tr>
      <w:tr>
        <w:trPr>
          <w:cantSplit/>
        </w:trPr>
        <w:tc>
          <w:tcPr>
            <w:tcW w:type="dxa" w:w="237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Physiological data</w:t>
            </w:r>
          </w:p>
        </w:tc>
        <w:tc>
          <w:tcPr>
            <w:tcW w:type="dxa" w:w="777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Stream name, unit, reading count, covered period, coverage, gaps and out-of-range/excluded readings where available.</w:t>
            </w:r>
          </w:p>
        </w:tc>
      </w:tr>
      <w:tr>
        <w:trPr>
          <w:cantSplit/>
        </w:trPr>
        <w:tc>
          <w:tcPr>
            <w:tcW w:type="dxa" w:w="23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Digital Twin</w:t>
            </w:r>
          </w:p>
        </w:tc>
        <w:tc>
          <w:tcPr>
            <w:tcW w:type="dxa" w:w="77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Whether a Twin is built, the current state, changes and version history where available.</w:t>
            </w:r>
          </w:p>
        </w:tc>
      </w:tr>
      <w:tr>
        <w:trPr>
          <w:cantSplit/>
        </w:trPr>
        <w:tc>
          <w:tcPr>
            <w:tcW w:type="dxa" w:w="237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Experimental prediction</w:t>
            </w:r>
          </w:p>
        </w:tc>
        <w:tc>
          <w:tcPr>
            <w:tcW w:type="dxa" w:w="777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Stored predictions, task/horizon/model version and outcome information, with limitations.</w:t>
            </w:r>
          </w:p>
        </w:tc>
      </w:tr>
      <w:tr>
        <w:trPr>
          <w:cantSplit/>
        </w:trPr>
        <w:tc>
          <w:tcPr>
            <w:tcW w:type="dxa" w:w="23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Review items and gaps</w:t>
            </w:r>
          </w:p>
        </w:tc>
        <w:tc>
          <w:tcPr>
            <w:tcW w:type="dxa" w:w="77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Not recorded, unavailable, awaiting review and data-quality issues. A retrieval error is kept distinct from a true empty record.</w:t>
            </w:r>
          </w:p>
        </w:tc>
      </w:tr>
    </w:tbl>
    <w:p>
      <w:pPr>
        <w:spacing w:after="0"/>
      </w:pPr>
    </w:p>
    <w:p>
      <w:r>
        <w:br w:type="page"/>
      </w:r>
    </w:p>
    <w:p>
      <w:pPr>
        <w:pStyle w:val="Heading2"/>
        <w:keepNext/>
      </w:pPr>
      <w:r>
        <w:t>How to verify it is patient-specific</w:t>
      </w:r>
    </w:p>
    <w:p>
      <w:pPr>
        <w:pStyle w:val="ListBullet"/>
        <w:spacing w:after="40"/>
      </w:pPr>
      <w:r>
        <w:t>Check the display name and ID on the report header.</w:t>
      </w:r>
    </w:p>
    <w:p>
      <w:pPr>
        <w:pStyle w:val="ListBullet"/>
        <w:spacing w:after="40"/>
      </w:pPr>
      <w:r>
        <w:t>Switch patient in the live workspace and regenerate/open the Brief; confirm the new patient’s measurements/counts and Twin status appear.</w:t>
      </w:r>
    </w:p>
    <w:p>
      <w:pPr>
        <w:pStyle w:val="ListBullet"/>
        <w:spacing w:after="40"/>
      </w:pPr>
      <w:r>
        <w:t>Use Meera or Kavya to test the correct limited/empty state, rather than always testing only Ananya.</w:t>
      </w:r>
    </w:p>
    <w:p>
      <w:pPr>
        <w:pStyle w:val="ListBullet"/>
        <w:spacing w:after="40"/>
      </w:pPr>
      <w:r>
        <w:t>In the static preview remember the source is the embedded snapshot; it can print that preview state but cannot fetch new backend data.</w:t>
      </w:r>
    </w:p>
    <w:p>
      <w:pPr>
        <w:pStyle w:val="Heading1"/>
        <w:keepNext/>
      </w:pPr>
      <w:r>
        <w:t>12. Technical architecture and project files</w:t>
      </w:r>
    </w:p>
    <w:p>
      <w:r>
        <w:t>NAARI uses a small local architecture intended for a working prototype. It does not use FastAPI, React, or a cloud-hosted service in this package.</w:t>
      </w:r>
    </w:p>
    <w:p>
      <w:pPr>
        <w:pStyle w:val="Heading2"/>
        <w:keepNext/>
      </w:pPr>
      <w:r>
        <w:t>Architecture in simple terms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Layer</w:t>
            </w:r>
          </w:p>
        </w:tc>
        <w:tc>
          <w:tcPr>
            <w:tcW w:type="dxa" w:w="7992"/>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Role</w:t>
            </w:r>
          </w:p>
        </w:tc>
      </w:tr>
      <w:tr>
        <w:trPr>
          <w:cantSplit/>
        </w:trPr>
        <w:tc>
          <w:tcPr>
            <w:tcW w:type="dxa" w:w="2160"/>
            <w:vAlign w:val="center"/>
            <w:tcMar>
              <w:top w:w="90" w:type="dxa"/>
              <w:start w:w="100" w:type="dxa"/>
              <w:bottom w:w="90" w:type="dxa"/>
              <w:end w:w="100" w:type="dxa"/>
            </w:tcMar>
          </w:tcPr>
          <w:p>
            <w:pPr>
              <w:spacing w:after="0" w:line="240" w:lineRule="auto"/>
            </w:pPr>
            <w:r/>
            <w:r>
              <w:rPr>
                <w:rFonts w:ascii="Aptos" w:hAnsi="Aptos" w:eastAsia="Aptos"/>
                <w:b w:val="0"/>
                <w:color w:val="302B31"/>
                <w:sz w:val="16"/>
              </w:rPr>
              <w:t>1. Inputs</w:t>
            </w:r>
          </w:p>
        </w:tc>
        <w:tc>
          <w:tcPr>
            <w:tcW w:type="dxa" w:w="7992"/>
            <w:vAlign w:val="center"/>
            <w:tcMar>
              <w:top w:w="90" w:type="dxa"/>
              <w:start w:w="100" w:type="dxa"/>
              <w:bottom w:w="90" w:type="dxa"/>
              <w:end w:w="100" w:type="dxa"/>
            </w:tcMar>
          </w:tcPr>
          <w:p>
            <w:pPr>
              <w:spacing w:after="0" w:line="240" w:lineRule="auto"/>
            </w:pPr>
            <w:r/>
            <w:r>
              <w:rPr>
                <w:rFonts w:ascii="Aptos" w:hAnsi="Aptos" w:eastAsia="Aptos"/>
                <w:b w:val="0"/>
                <w:color w:val="302B31"/>
                <w:sz w:val="16"/>
              </w:rPr>
              <w:t>PDF / PNG-JPG / CSV-JSON reports; time-series CSV; manually entered measurements; cycle and symptom records</w:t>
            </w:r>
          </w:p>
        </w:tc>
      </w:tr>
      <w:tr>
        <w:trPr>
          <w:cantSplit/>
        </w:trPr>
        <w:tc>
          <w:tcPr>
            <w:tcW w:type="dxa" w:w="216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2. Processing</w:t>
            </w:r>
          </w:p>
        </w:tc>
        <w:tc>
          <w:tcPr>
            <w:tcW w:type="dxa" w:w="7992"/>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`extract.py` reads report text/OCR; `server.py` parses and validates inputs; `twin.py` filters and summarizes data</w:t>
            </w:r>
          </w:p>
        </w:tc>
      </w:tr>
      <w:tr>
        <w:trPr>
          <w:cantSplit/>
        </w:trPr>
        <w:tc>
          <w:tcPr>
            <w:tcW w:type="dxa" w:w="2160"/>
            <w:vAlign w:val="center"/>
            <w:tcMar>
              <w:top w:w="90" w:type="dxa"/>
              <w:start w:w="100" w:type="dxa"/>
              <w:bottom w:w="90" w:type="dxa"/>
              <w:end w:w="100" w:type="dxa"/>
            </w:tcMar>
          </w:tcPr>
          <w:p>
            <w:pPr>
              <w:spacing w:after="0" w:line="240" w:lineRule="auto"/>
            </w:pPr>
            <w:r/>
            <w:r>
              <w:rPr>
                <w:rFonts w:ascii="Aptos" w:hAnsi="Aptos" w:eastAsia="Aptos"/>
                <w:b w:val="0"/>
                <w:color w:val="302B31"/>
                <w:sz w:val="16"/>
              </w:rPr>
              <w:t>3. Storage</w:t>
            </w:r>
          </w:p>
        </w:tc>
        <w:tc>
          <w:tcPr>
            <w:tcW w:type="dxa" w:w="7992"/>
            <w:vAlign w:val="center"/>
            <w:tcMar>
              <w:top w:w="90" w:type="dxa"/>
              <w:start w:w="100" w:type="dxa"/>
              <w:bottom w:w="90" w:type="dxa"/>
              <w:end w:w="100" w:type="dxa"/>
            </w:tcMar>
          </w:tcPr>
          <w:p>
            <w:pPr>
              <w:spacing w:after="0" w:line="240" w:lineRule="auto"/>
            </w:pPr>
            <w:r/>
            <w:r>
              <w:rPr>
                <w:rFonts w:ascii="Aptos" w:hAnsi="Aptos" w:eastAsia="Aptos"/>
                <w:b w:val="0"/>
                <w:color w:val="302B31"/>
                <w:sz w:val="16"/>
              </w:rPr>
              <w:t>SQLite tables save patients, measurements, source documents, pending fields, time-series points, versions, predictions, outcomes and audit records</w:t>
            </w:r>
          </w:p>
        </w:tc>
      </w:tr>
      <w:tr>
        <w:trPr>
          <w:cantSplit/>
        </w:trPr>
        <w:tc>
          <w:tcPr>
            <w:tcW w:type="dxa" w:w="216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4. Computation</w:t>
            </w:r>
          </w:p>
        </w:tc>
        <w:tc>
          <w:tcPr>
            <w:tcW w:type="dxa" w:w="7992"/>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Twin engine writes versioned snapshots and diffs; `model.py` creates features and loads the trained classifier for the gated prediction</w:t>
            </w:r>
          </w:p>
        </w:tc>
      </w:tr>
      <w:tr>
        <w:trPr>
          <w:cantSplit/>
        </w:trPr>
        <w:tc>
          <w:tcPr>
            <w:tcW w:type="dxa" w:w="2160"/>
            <w:vAlign w:val="center"/>
            <w:tcMar>
              <w:top w:w="90" w:type="dxa"/>
              <w:start w:w="100" w:type="dxa"/>
              <w:bottom w:w="90" w:type="dxa"/>
              <w:end w:w="100" w:type="dxa"/>
            </w:tcMar>
          </w:tcPr>
          <w:p>
            <w:pPr>
              <w:spacing w:after="0" w:line="240" w:lineRule="auto"/>
            </w:pPr>
            <w:r/>
            <w:r>
              <w:rPr>
                <w:rFonts w:ascii="Aptos" w:hAnsi="Aptos" w:eastAsia="Aptos"/>
                <w:b w:val="0"/>
                <w:color w:val="302B31"/>
                <w:sz w:val="16"/>
              </w:rPr>
              <w:t>5. Interface / export</w:t>
            </w:r>
          </w:p>
        </w:tc>
        <w:tc>
          <w:tcPr>
            <w:tcW w:type="dxa" w:w="7992"/>
            <w:vAlign w:val="center"/>
            <w:tcMar>
              <w:top w:w="90" w:type="dxa"/>
              <w:start w:w="100" w:type="dxa"/>
              <w:bottom w:w="90" w:type="dxa"/>
              <w:end w:w="100" w:type="dxa"/>
            </w:tcMar>
          </w:tcPr>
          <w:p>
            <w:pPr>
              <w:spacing w:after="0" w:line="240" w:lineRule="auto"/>
            </w:pPr>
            <w:r/>
            <w:r>
              <w:rPr>
                <w:rFonts w:ascii="Aptos" w:hAnsi="Aptos" w:eastAsia="Aptos"/>
                <w:b w:val="0"/>
                <w:color w:val="302B31"/>
                <w:sz w:val="16"/>
              </w:rPr>
              <w:t>`index.html` + `ui2.js` render the single-page interface; API responses feed views; Doctor Brief data are formatted as HTML/UI and server-side PDF</w:t>
            </w:r>
          </w:p>
        </w:tc>
      </w:tr>
    </w:tbl>
    <w:p>
      <w:pPr>
        <w:spacing w:after="0"/>
      </w:pPr>
    </w:p>
    <w:p>
      <w:pPr>
        <w:pStyle w:val="Heading2"/>
        <w:keepNext/>
      </w:pPr>
      <w:r>
        <w:t>Key source files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168"/>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File/folder</w:t>
            </w:r>
          </w:p>
        </w:tc>
        <w:tc>
          <w:tcPr>
            <w:tcW w:type="dxa" w:w="6984"/>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Responsibility</w:t>
            </w:r>
          </w:p>
        </w:tc>
      </w:tr>
      <w:tr>
        <w:trPr>
          <w:cantSplit/>
        </w:trPr>
        <w:tc>
          <w:tcPr>
            <w:tcW w:type="dxa" w:w="3168"/>
            <w:vAlign w:val="center"/>
            <w:tcMar>
              <w:top w:w="90" w:type="dxa"/>
              <w:start w:w="100" w:type="dxa"/>
              <w:bottom w:w="90" w:type="dxa"/>
              <w:end w:w="100" w:type="dxa"/>
            </w:tcMar>
          </w:tcPr>
          <w:p>
            <w:pPr>
              <w:spacing w:after="0" w:line="240" w:lineRule="auto"/>
            </w:pPr>
            <w:r/>
            <w:r>
              <w:rPr>
                <w:rFonts w:ascii="Aptos" w:hAnsi="Aptos" w:eastAsia="Aptos"/>
                <w:b w:val="0"/>
                <w:color w:val="302B31"/>
                <w:sz w:val="15"/>
              </w:rPr>
              <w:t>`naari/server.py`</w:t>
            </w:r>
          </w:p>
        </w:tc>
        <w:tc>
          <w:tcPr>
            <w:tcW w:type="dxa" w:w="6984"/>
            <w:vAlign w:val="center"/>
            <w:tcMar>
              <w:top w:w="90" w:type="dxa"/>
              <w:start w:w="100" w:type="dxa"/>
              <w:bottom w:w="90" w:type="dxa"/>
              <w:end w:w="100" w:type="dxa"/>
            </w:tcMar>
          </w:tcPr>
          <w:p>
            <w:pPr>
              <w:spacing w:after="0" w:line="240" w:lineRule="auto"/>
            </w:pPr>
            <w:r/>
            <w:r>
              <w:rPr>
                <w:rFonts w:ascii="Aptos" w:hAnsi="Aptos" w:eastAsia="Aptos"/>
                <w:b w:val="0"/>
                <w:color w:val="302B31"/>
                <w:sz w:val="15"/>
              </w:rPr>
              <w:t>Local HTTP server, JSON API routing, request validation, session handling, uploads, since-date comparison, Doctor Brief assembly and PDF generation.</w:t>
            </w:r>
          </w:p>
        </w:tc>
      </w:tr>
      <w:tr>
        <w:trPr>
          <w:cantSplit/>
        </w:trPr>
        <w:tc>
          <w:tcPr>
            <w:tcW w:type="dxa" w:w="316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`naari/twin.py`</w:t>
            </w:r>
          </w:p>
        </w:tc>
        <w:tc>
          <w:tcPr>
            <w:tcW w:type="dxa" w:w="698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SQLite base schema, clinical measurements, time-series ingestion/quality flagging, saved Twin version computation, feature-level diff, prediction gate and outcome validation.</w:t>
            </w:r>
          </w:p>
        </w:tc>
      </w:tr>
      <w:tr>
        <w:trPr>
          <w:cantSplit/>
        </w:trPr>
        <w:tc>
          <w:tcPr>
            <w:tcW w:type="dxa" w:w="3168"/>
            <w:vAlign w:val="center"/>
            <w:tcMar>
              <w:top w:w="90" w:type="dxa"/>
              <w:start w:w="100" w:type="dxa"/>
              <w:bottom w:w="90" w:type="dxa"/>
              <w:end w:w="100" w:type="dxa"/>
            </w:tcMar>
          </w:tcPr>
          <w:p>
            <w:pPr>
              <w:spacing w:after="0" w:line="240" w:lineRule="auto"/>
            </w:pPr>
            <w:r/>
            <w:r>
              <w:rPr>
                <w:rFonts w:ascii="Aptos" w:hAnsi="Aptos" w:eastAsia="Aptos"/>
                <w:b w:val="0"/>
                <w:color w:val="302B31"/>
                <w:sz w:val="15"/>
              </w:rPr>
              <w:t>`naari/model.py`</w:t>
            </w:r>
          </w:p>
        </w:tc>
        <w:tc>
          <w:tcPr>
            <w:tcW w:type="dxa" w:w="6984"/>
            <w:vAlign w:val="center"/>
            <w:tcMar>
              <w:top w:w="90" w:type="dxa"/>
              <w:start w:w="100" w:type="dxa"/>
              <w:bottom w:w="90" w:type="dxa"/>
              <w:end w:w="100" w:type="dxa"/>
            </w:tcMar>
          </w:tcPr>
          <w:p>
            <w:pPr>
              <w:spacing w:after="0" w:line="240" w:lineRule="auto"/>
            </w:pPr>
            <w:r/>
            <w:r>
              <w:rPr>
                <w:rFonts w:ascii="Aptos" w:hAnsi="Aptos" w:eastAsia="Aptos"/>
                <w:b w:val="0"/>
                <w:color w:val="302B31"/>
                <w:sz w:val="15"/>
              </w:rPr>
              <w:t>Feature construction, synthetic window generation for training, baseline and gradient-boosting fitting, metric calculation.</w:t>
            </w:r>
          </w:p>
        </w:tc>
      </w:tr>
      <w:tr>
        <w:trPr>
          <w:cantSplit/>
        </w:trPr>
        <w:tc>
          <w:tcPr>
            <w:tcW w:type="dxa" w:w="316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`naari/extract.py`</w:t>
            </w:r>
          </w:p>
        </w:tc>
        <w:tc>
          <w:tcPr>
            <w:tcW w:type="dxa" w:w="698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PDF text-layer extraction, OCR fallback, image OCR, candidate field parsing and broad category classification.</w:t>
            </w:r>
          </w:p>
        </w:tc>
      </w:tr>
      <w:tr>
        <w:trPr>
          <w:cantSplit/>
        </w:trPr>
        <w:tc>
          <w:tcPr>
            <w:tcW w:type="dxa" w:w="3168"/>
            <w:vAlign w:val="center"/>
            <w:tcMar>
              <w:top w:w="90" w:type="dxa"/>
              <w:start w:w="100" w:type="dxa"/>
              <w:bottom w:w="90" w:type="dxa"/>
              <w:end w:w="100" w:type="dxa"/>
            </w:tcMar>
          </w:tcPr>
          <w:p>
            <w:pPr>
              <w:spacing w:after="0" w:line="240" w:lineRule="auto"/>
            </w:pPr>
            <w:r/>
            <w:r>
              <w:rPr>
                <w:rFonts w:ascii="Aptos" w:hAnsi="Aptos" w:eastAsia="Aptos"/>
                <w:b w:val="0"/>
                <w:color w:val="302B31"/>
                <w:sz w:val="15"/>
              </w:rPr>
              <w:t>`naari/records.py`</w:t>
            </w:r>
          </w:p>
        </w:tc>
        <w:tc>
          <w:tcPr>
            <w:tcW w:type="dxa" w:w="6984"/>
            <w:vAlign w:val="center"/>
            <w:tcMar>
              <w:top w:w="90" w:type="dxa"/>
              <w:start w:w="100" w:type="dxa"/>
              <w:bottom w:w="90" w:type="dxa"/>
              <w:end w:w="100" w:type="dxa"/>
            </w:tcMar>
          </w:tcPr>
          <w:p>
            <w:pPr>
              <w:spacing w:after="0" w:line="240" w:lineRule="auto"/>
            </w:pPr>
            <w:r/>
            <w:r>
              <w:rPr>
                <w:rFonts w:ascii="Aptos" w:hAnsi="Aptos" w:eastAsia="Aptos"/>
                <w:b w:val="0"/>
                <w:color w:val="302B31"/>
                <w:sz w:val="15"/>
              </w:rPr>
              <w:t>Additional database tables for users, profiles, history, documents, fields, cycles and symptoms; display names and password hashing helper.</w:t>
            </w:r>
          </w:p>
        </w:tc>
      </w:tr>
      <w:tr>
        <w:trPr>
          <w:cantSplit/>
        </w:trPr>
        <w:tc>
          <w:tcPr>
            <w:tcW w:type="dxa" w:w="316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`naari/seed.py`</w:t>
            </w:r>
          </w:p>
        </w:tc>
        <w:tc>
          <w:tcPr>
            <w:tcW w:type="dxa" w:w="698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Resets the local database, creates three demo profiles, seeds sample history/cycles/symptoms/measurements and initial glucose time-series, and creates sample files.</w:t>
            </w:r>
          </w:p>
        </w:tc>
      </w:tr>
      <w:tr>
        <w:trPr>
          <w:cantSplit/>
        </w:trPr>
        <w:tc>
          <w:tcPr>
            <w:tcW w:type="dxa" w:w="3168"/>
            <w:vAlign w:val="center"/>
            <w:tcMar>
              <w:top w:w="90" w:type="dxa"/>
              <w:start w:w="100" w:type="dxa"/>
              <w:bottom w:w="90" w:type="dxa"/>
              <w:end w:w="100" w:type="dxa"/>
            </w:tcMar>
          </w:tcPr>
          <w:p>
            <w:pPr>
              <w:spacing w:after="0" w:line="240" w:lineRule="auto"/>
            </w:pPr>
            <w:r/>
            <w:r>
              <w:rPr>
                <w:rFonts w:ascii="Aptos" w:hAnsi="Aptos" w:eastAsia="Aptos"/>
                <w:b w:val="0"/>
                <w:color w:val="302B31"/>
                <w:sz w:val="15"/>
              </w:rPr>
              <w:t>`naari/synth.py`</w:t>
            </w:r>
          </w:p>
        </w:tc>
        <w:tc>
          <w:tcPr>
            <w:tcW w:type="dxa" w:w="6984"/>
            <w:vAlign w:val="center"/>
            <w:tcMar>
              <w:top w:w="90" w:type="dxa"/>
              <w:start w:w="100" w:type="dxa"/>
              <w:bottom w:w="90" w:type="dxa"/>
              <w:end w:w="100" w:type="dxa"/>
            </w:tcMar>
          </w:tcPr>
          <w:p>
            <w:pPr>
              <w:spacing w:after="0" w:line="240" w:lineRule="auto"/>
            </w:pPr>
            <w:r/>
            <w:r>
              <w:rPr>
                <w:rFonts w:ascii="Aptos" w:hAnsi="Aptos" w:eastAsia="Aptos"/>
                <w:b w:val="0"/>
                <w:color w:val="302B31"/>
                <w:sz w:val="15"/>
              </w:rPr>
              <w:t>Deterministic synthetic glucose, heart-rate and steps generator for 40 patients.</w:t>
            </w:r>
          </w:p>
        </w:tc>
      </w:tr>
      <w:tr>
        <w:trPr>
          <w:cantSplit/>
        </w:trPr>
        <w:tc>
          <w:tcPr>
            <w:tcW w:type="dxa" w:w="316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`web/index.html`</w:t>
            </w:r>
          </w:p>
        </w:tc>
        <w:tc>
          <w:tcPr>
            <w:tcW w:type="dxa" w:w="698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App shell, styles, fallback/legacy UI code, embedded static preview data path and preview-specific guards.</w:t>
            </w:r>
          </w:p>
        </w:tc>
      </w:tr>
      <w:tr>
        <w:trPr>
          <w:cantSplit/>
        </w:trPr>
        <w:tc>
          <w:tcPr>
            <w:tcW w:type="dxa" w:w="3168"/>
            <w:vAlign w:val="center"/>
            <w:tcMar>
              <w:top w:w="90" w:type="dxa"/>
              <w:start w:w="100" w:type="dxa"/>
              <w:bottom w:w="90" w:type="dxa"/>
              <w:end w:w="100" w:type="dxa"/>
            </w:tcMar>
          </w:tcPr>
          <w:p>
            <w:pPr>
              <w:spacing w:after="0" w:line="240" w:lineRule="auto"/>
            </w:pPr>
            <w:r/>
            <w:r>
              <w:rPr>
                <w:rFonts w:ascii="Aptos" w:hAnsi="Aptos" w:eastAsia="Aptos"/>
                <w:b w:val="0"/>
                <w:color w:val="302B31"/>
                <w:sz w:val="15"/>
              </w:rPr>
              <w:t>`web/ui2.js`</w:t>
            </w:r>
          </w:p>
        </w:tc>
        <w:tc>
          <w:tcPr>
            <w:tcW w:type="dxa" w:w="6984"/>
            <w:vAlign w:val="center"/>
            <w:tcMar>
              <w:top w:w="90" w:type="dxa"/>
              <w:start w:w="100" w:type="dxa"/>
              <w:bottom w:w="90" w:type="dxa"/>
              <w:end w:w="100" w:type="dxa"/>
            </w:tcMar>
          </w:tcPr>
          <w:p>
            <w:pPr>
              <w:spacing w:after="0" w:line="240" w:lineRule="auto"/>
            </w:pPr>
            <w:r/>
            <w:r>
              <w:rPr>
                <w:rFonts w:ascii="Aptos" w:hAnsi="Aptos" w:eastAsia="Aptos"/>
                <w:b w:val="0"/>
                <w:color w:val="302B31"/>
                <w:sz w:val="15"/>
              </w:rPr>
              <w:t>Current single-page app logic, routing/rendered views, readable Twin explanations, guided tours, and patient switching.</w:t>
            </w:r>
          </w:p>
        </w:tc>
      </w:tr>
      <w:tr>
        <w:trPr>
          <w:cantSplit/>
        </w:trPr>
        <w:tc>
          <w:tcPr>
            <w:tcW w:type="dxa" w:w="316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`models/glucose_tar_2h.joblib`</w:t>
            </w:r>
          </w:p>
        </w:tc>
        <w:tc>
          <w:tcPr>
            <w:tcW w:type="dxa" w:w="698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Saved trained gradient-boosting model used by prediction inference.</w:t>
            </w:r>
          </w:p>
        </w:tc>
      </w:tr>
      <w:tr>
        <w:trPr>
          <w:cantSplit/>
        </w:trPr>
        <w:tc>
          <w:tcPr>
            <w:tcW w:type="dxa" w:w="3168"/>
            <w:vAlign w:val="center"/>
            <w:tcMar>
              <w:top w:w="90" w:type="dxa"/>
              <w:start w:w="100" w:type="dxa"/>
              <w:bottom w:w="90" w:type="dxa"/>
              <w:end w:w="100" w:type="dxa"/>
            </w:tcMar>
          </w:tcPr>
          <w:p>
            <w:pPr>
              <w:spacing w:after="0" w:line="240" w:lineRule="auto"/>
            </w:pPr>
            <w:r/>
            <w:r>
              <w:rPr>
                <w:rFonts w:ascii="Aptos" w:hAnsi="Aptos" w:eastAsia="Aptos"/>
                <w:b w:val="0"/>
                <w:color w:val="302B31"/>
                <w:sz w:val="15"/>
              </w:rPr>
              <w:t>`models/metrics.json`</w:t>
            </w:r>
          </w:p>
        </w:tc>
        <w:tc>
          <w:tcPr>
            <w:tcW w:type="dxa" w:w="6984"/>
            <w:vAlign w:val="center"/>
            <w:tcMar>
              <w:top w:w="90" w:type="dxa"/>
              <w:start w:w="100" w:type="dxa"/>
              <w:bottom w:w="90" w:type="dxa"/>
              <w:end w:w="100" w:type="dxa"/>
            </w:tcMar>
          </w:tcPr>
          <w:p>
            <w:pPr>
              <w:spacing w:after="0" w:line="240" w:lineRule="auto"/>
            </w:pPr>
            <w:r/>
            <w:r>
              <w:rPr>
                <w:rFonts w:ascii="Aptos" w:hAnsi="Aptos" w:eastAsia="Aptos"/>
                <w:b w:val="0"/>
                <w:color w:val="302B31"/>
                <w:sz w:val="15"/>
              </w:rPr>
              <w:t>Task description, split, feature list and synthetic metrics.</w:t>
            </w:r>
          </w:p>
        </w:tc>
      </w:tr>
      <w:tr>
        <w:trPr>
          <w:cantSplit/>
        </w:trPr>
        <w:tc>
          <w:tcPr>
            <w:tcW w:type="dxa" w:w="316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`build_preview.py`</w:t>
            </w:r>
          </w:p>
        </w:tc>
        <w:tc>
          <w:tcPr>
            <w:tcW w:type="dxa" w:w="698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Builds a standalone static HTML snapshot from the full application data after the chosen demo state.</w:t>
            </w:r>
          </w:p>
        </w:tc>
      </w:tr>
      <w:tr>
        <w:trPr>
          <w:cantSplit/>
        </w:trPr>
        <w:tc>
          <w:tcPr>
            <w:tcW w:type="dxa" w:w="3168"/>
            <w:vAlign w:val="center"/>
            <w:tcMar>
              <w:top w:w="90" w:type="dxa"/>
              <w:start w:w="100" w:type="dxa"/>
              <w:bottom w:w="90" w:type="dxa"/>
              <w:end w:w="100" w:type="dxa"/>
            </w:tcMar>
          </w:tcPr>
          <w:p>
            <w:pPr>
              <w:spacing w:after="0" w:line="240" w:lineRule="auto"/>
            </w:pPr>
            <w:r/>
            <w:r>
              <w:rPr>
                <w:rFonts w:ascii="Aptos" w:hAnsi="Aptos" w:eastAsia="Aptos"/>
                <w:b w:val="0"/>
                <w:color w:val="302B31"/>
                <w:sz w:val="15"/>
              </w:rPr>
              <w:t>`tests/`</w:t>
            </w:r>
          </w:p>
        </w:tc>
        <w:tc>
          <w:tcPr>
            <w:tcW w:type="dxa" w:w="6984"/>
            <w:vAlign w:val="center"/>
            <w:tcMar>
              <w:top w:w="90" w:type="dxa"/>
              <w:start w:w="100" w:type="dxa"/>
              <w:bottom w:w="90" w:type="dxa"/>
              <w:end w:w="100" w:type="dxa"/>
            </w:tcMar>
          </w:tcPr>
          <w:p>
            <w:pPr>
              <w:spacing w:after="0" w:line="240" w:lineRule="auto"/>
            </w:pPr>
            <w:r/>
            <w:r>
              <w:rPr>
                <w:rFonts w:ascii="Aptos" w:hAnsi="Aptos" w:eastAsia="Aptos"/>
                <w:b w:val="0"/>
                <w:color w:val="302B31"/>
                <w:sz w:val="15"/>
              </w:rPr>
              <w:t>Core, API, Doctor Brief, Twin, patient-count, scope, preview-safety, limitation, navigation, date-comparison, tour/demo and audit checks.</w:t>
            </w:r>
          </w:p>
        </w:tc>
      </w:tr>
    </w:tbl>
    <w:p>
      <w:pPr>
        <w:spacing w:after="0"/>
      </w:pPr>
    </w:p>
    <w:p>
      <w:pPr>
        <w:pStyle w:val="Heading2"/>
        <w:keepNext/>
      </w:pPr>
      <w:r>
        <w:t>Why one can see the same page in two modes</w:t>
      </w:r>
    </w:p>
    <w:p>
      <w:r>
        <w:t>The full application loads a web shell and then calls the backend API. The generated preview embeds selected API data in a standalone HTML file and sets `window.NAARI_PREVIEW=true`. That lets the preview render without a server, but it also means the snapshot is fixed at build time and write operations must be restricted. The preview can navigate and compare locally; it cannot create durable server records.</w:t>
      </w:r>
    </w:p>
    <w:p>
      <w:pPr>
        <w:pStyle w:val="Heading1"/>
        <w:keepNext/>
      </w:pPr>
      <w:r>
        <w:t>13. Database and API: how components communicate</w:t>
      </w:r>
    </w:p>
    <w:p>
      <w:pPr>
        <w:pStyle w:val="Heading2"/>
        <w:keepNext/>
      </w:pPr>
      <w:r>
        <w:t>Main database entities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Table</w:t>
            </w:r>
          </w:p>
        </w:tc>
        <w:tc>
          <w:tcPr>
            <w:tcW w:type="dxa" w:w="7848"/>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What it stores</w:t>
            </w:r>
          </w:p>
        </w:tc>
      </w:tr>
      <w:tr>
        <w:trPr>
          <w:cantSplit/>
        </w:trPr>
        <w:tc>
          <w:tcPr>
            <w:tcW w:type="dxa" w:w="2304"/>
            <w:vAlign w:val="center"/>
            <w:tcMar>
              <w:top w:w="90" w:type="dxa"/>
              <w:start w:w="100" w:type="dxa"/>
              <w:bottom w:w="90" w:type="dxa"/>
              <w:end w:w="100" w:type="dxa"/>
            </w:tcMar>
          </w:tcPr>
          <w:p>
            <w:pPr>
              <w:spacing w:after="0" w:line="240" w:lineRule="auto"/>
            </w:pPr>
            <w:r/>
            <w:r>
              <w:rPr>
                <w:rFonts w:ascii="Aptos" w:hAnsi="Aptos" w:eastAsia="Aptos"/>
                <w:b w:val="0"/>
                <w:color w:val="302B31"/>
                <w:sz w:val="15"/>
              </w:rPr>
              <w:t>`patients`, `profile`</w:t>
            </w:r>
          </w:p>
        </w:tc>
        <w:tc>
          <w:tcPr>
            <w:tcW w:type="dxa" w:w="7848"/>
            <w:vAlign w:val="center"/>
            <w:tcMar>
              <w:top w:w="90" w:type="dxa"/>
              <w:start w:w="100" w:type="dxa"/>
              <w:bottom w:w="90" w:type="dxa"/>
              <w:end w:w="100" w:type="dxa"/>
            </w:tcMar>
          </w:tcPr>
          <w:p>
            <w:pPr>
              <w:spacing w:after="0" w:line="240" w:lineRule="auto"/>
            </w:pPr>
            <w:r/>
            <w:r>
              <w:rPr>
                <w:rFonts w:ascii="Aptos" w:hAnsi="Aptos" w:eastAsia="Aptos"/>
                <w:b w:val="0"/>
                <w:color w:val="302B31"/>
                <w:sz w:val="15"/>
              </w:rPr>
              <w:t>Stable patient ID, synthetic flag, age/sex/summary and fictional display name.</w:t>
            </w:r>
          </w:p>
        </w:tc>
      </w:tr>
      <w:tr>
        <w:trPr>
          <w:cantSplit/>
        </w:trPr>
        <w:tc>
          <w:tcPr>
            <w:tcW w:type="dxa" w:w="230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`history`</w:t>
            </w:r>
          </w:p>
        </w:tc>
        <w:tc>
          <w:tcPr>
            <w:tcW w:type="dxa" w:w="784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Dated historical entries with kind/text/provenance.</w:t>
            </w:r>
          </w:p>
        </w:tc>
      </w:tr>
      <w:tr>
        <w:trPr>
          <w:cantSplit/>
        </w:trPr>
        <w:tc>
          <w:tcPr>
            <w:tcW w:type="dxa" w:w="2304"/>
            <w:vAlign w:val="center"/>
            <w:tcMar>
              <w:top w:w="90" w:type="dxa"/>
              <w:start w:w="100" w:type="dxa"/>
              <w:bottom w:w="90" w:type="dxa"/>
              <w:end w:w="100" w:type="dxa"/>
            </w:tcMar>
          </w:tcPr>
          <w:p>
            <w:pPr>
              <w:spacing w:after="0" w:line="240" w:lineRule="auto"/>
            </w:pPr>
            <w:r/>
            <w:r>
              <w:rPr>
                <w:rFonts w:ascii="Aptos" w:hAnsi="Aptos" w:eastAsia="Aptos"/>
                <w:b w:val="0"/>
                <w:color w:val="302B31"/>
                <w:sz w:val="15"/>
              </w:rPr>
              <w:t>`measurements`</w:t>
            </w:r>
          </w:p>
        </w:tc>
        <w:tc>
          <w:tcPr>
            <w:tcW w:type="dxa" w:w="7848"/>
            <w:vAlign w:val="center"/>
            <w:tcMar>
              <w:top w:w="90" w:type="dxa"/>
              <w:start w:w="100" w:type="dxa"/>
              <w:bottom w:w="90" w:type="dxa"/>
              <w:end w:w="100" w:type="dxa"/>
            </w:tcMar>
          </w:tcPr>
          <w:p>
            <w:pPr>
              <w:spacing w:after="0" w:line="240" w:lineRule="auto"/>
            </w:pPr>
            <w:r/>
            <w:r>
              <w:rPr>
                <w:rFonts w:ascii="Aptos" w:hAnsi="Aptos" w:eastAsia="Aptos"/>
                <w:b w:val="0"/>
                <w:color w:val="302B31"/>
                <w:sz w:val="15"/>
              </w:rPr>
              <w:t>Clinical value, test, unit, date, source, verified flag, category, reference range/flag, document/page references and notes.</w:t>
            </w:r>
          </w:p>
        </w:tc>
      </w:tr>
      <w:tr>
        <w:trPr>
          <w:cantSplit/>
        </w:trPr>
        <w:tc>
          <w:tcPr>
            <w:tcW w:type="dxa" w:w="230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`documents`, `fields`</w:t>
            </w:r>
          </w:p>
        </w:tc>
        <w:tc>
          <w:tcPr>
            <w:tcW w:type="dxa" w:w="784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Uploaded source file and extraction status/text; candidate fields with page, name/value/unit/date/ranges/flag/method/confidence/status/linked measurement ID.</w:t>
            </w:r>
          </w:p>
        </w:tc>
      </w:tr>
      <w:tr>
        <w:trPr>
          <w:cantSplit/>
        </w:trPr>
        <w:tc>
          <w:tcPr>
            <w:tcW w:type="dxa" w:w="2304"/>
            <w:vAlign w:val="center"/>
            <w:tcMar>
              <w:top w:w="90" w:type="dxa"/>
              <w:start w:w="100" w:type="dxa"/>
              <w:bottom w:w="90" w:type="dxa"/>
              <w:end w:w="100" w:type="dxa"/>
            </w:tcMar>
          </w:tcPr>
          <w:p>
            <w:pPr>
              <w:spacing w:after="0" w:line="240" w:lineRule="auto"/>
            </w:pPr>
            <w:r/>
            <w:r>
              <w:rPr>
                <w:rFonts w:ascii="Aptos" w:hAnsi="Aptos" w:eastAsia="Aptos"/>
                <w:b w:val="0"/>
                <w:color w:val="302B31"/>
                <w:sz w:val="15"/>
              </w:rPr>
              <w:t>`timeseries`</w:t>
            </w:r>
          </w:p>
        </w:tc>
        <w:tc>
          <w:tcPr>
            <w:tcW w:type="dxa" w:w="7848"/>
            <w:vAlign w:val="center"/>
            <w:tcMar>
              <w:top w:w="90" w:type="dxa"/>
              <w:start w:w="100" w:type="dxa"/>
              <w:bottom w:w="90" w:type="dxa"/>
              <w:end w:w="100" w:type="dxa"/>
            </w:tcMar>
          </w:tcPr>
          <w:p>
            <w:pPr>
              <w:spacing w:after="0" w:line="240" w:lineRule="auto"/>
            </w:pPr>
            <w:r/>
            <w:r>
              <w:rPr>
                <w:rFonts w:ascii="Aptos" w:hAnsi="Aptos" w:eastAsia="Aptos"/>
                <w:b w:val="0"/>
                <w:color w:val="302B31"/>
                <w:sz w:val="15"/>
              </w:rPr>
              <w:t>Patient, metric, timestamp, value, unit, source, import batch and quality status.</w:t>
            </w:r>
          </w:p>
        </w:tc>
      </w:tr>
      <w:tr>
        <w:trPr>
          <w:cantSplit/>
        </w:trPr>
        <w:tc>
          <w:tcPr>
            <w:tcW w:type="dxa" w:w="230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`cycles`, `symptoms`</w:t>
            </w:r>
          </w:p>
        </w:tc>
        <w:tc>
          <w:tcPr>
            <w:tcW w:type="dxa" w:w="784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Period start/end records and dated patient-reported symptom severity entries.</w:t>
            </w:r>
          </w:p>
        </w:tc>
      </w:tr>
      <w:tr>
        <w:trPr>
          <w:cantSplit/>
        </w:trPr>
        <w:tc>
          <w:tcPr>
            <w:tcW w:type="dxa" w:w="2304"/>
            <w:vAlign w:val="center"/>
            <w:tcMar>
              <w:top w:w="90" w:type="dxa"/>
              <w:start w:w="100" w:type="dxa"/>
              <w:bottom w:w="90" w:type="dxa"/>
              <w:end w:w="100" w:type="dxa"/>
            </w:tcMar>
          </w:tcPr>
          <w:p>
            <w:pPr>
              <w:spacing w:after="0" w:line="240" w:lineRule="auto"/>
            </w:pPr>
            <w:r/>
            <w:r>
              <w:rPr>
                <w:rFonts w:ascii="Aptos" w:hAnsi="Aptos" w:eastAsia="Aptos"/>
                <w:b w:val="0"/>
                <w:color w:val="302B31"/>
                <w:sz w:val="15"/>
              </w:rPr>
              <w:t>`snapshots`</w:t>
            </w:r>
          </w:p>
        </w:tc>
        <w:tc>
          <w:tcPr>
            <w:tcW w:type="dxa" w:w="7848"/>
            <w:vAlign w:val="center"/>
            <w:tcMar>
              <w:top w:w="90" w:type="dxa"/>
              <w:start w:w="100" w:type="dxa"/>
              <w:bottom w:w="90" w:type="dxa"/>
              <w:end w:w="100" w:type="dxa"/>
            </w:tcMar>
          </w:tcPr>
          <w:p>
            <w:pPr>
              <w:spacing w:after="0" w:line="240" w:lineRule="auto"/>
            </w:pPr>
            <w:r/>
            <w:r>
              <w:rPr>
                <w:rFonts w:ascii="Aptos" w:hAnsi="Aptos" w:eastAsia="Aptos"/>
                <w:b w:val="0"/>
                <w:color w:val="302B31"/>
                <w:sz w:val="15"/>
              </w:rPr>
              <w:t>Saved Twin version, timestamp, JSON state, diff and recorded update reason.</w:t>
            </w:r>
          </w:p>
        </w:tc>
      </w:tr>
      <w:tr>
        <w:trPr>
          <w:cantSplit/>
        </w:trPr>
        <w:tc>
          <w:tcPr>
            <w:tcW w:type="dxa" w:w="230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`predictions`, `outcomes`</w:t>
            </w:r>
          </w:p>
        </w:tc>
        <w:tc>
          <w:tcPr>
            <w:tcW w:type="dxa" w:w="784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Prediction score, version/time/horizon/model/input window and later outcome derived from stored glucose data.</w:t>
            </w:r>
          </w:p>
        </w:tc>
      </w:tr>
      <w:tr>
        <w:trPr>
          <w:cantSplit/>
        </w:trPr>
        <w:tc>
          <w:tcPr>
            <w:tcW w:type="dxa" w:w="2304"/>
            <w:vAlign w:val="center"/>
            <w:tcMar>
              <w:top w:w="90" w:type="dxa"/>
              <w:start w:w="100" w:type="dxa"/>
              <w:bottom w:w="90" w:type="dxa"/>
              <w:end w:w="100" w:type="dxa"/>
            </w:tcMar>
          </w:tcPr>
          <w:p>
            <w:pPr>
              <w:spacing w:after="0" w:line="240" w:lineRule="auto"/>
            </w:pPr>
            <w:r/>
            <w:r>
              <w:rPr>
                <w:rFonts w:ascii="Aptos" w:hAnsi="Aptos" w:eastAsia="Aptos"/>
                <w:b w:val="0"/>
                <w:color w:val="302B31"/>
                <w:sz w:val="15"/>
              </w:rPr>
              <w:t>`audit`</w:t>
            </w:r>
          </w:p>
        </w:tc>
        <w:tc>
          <w:tcPr>
            <w:tcW w:type="dxa" w:w="7848"/>
            <w:vAlign w:val="center"/>
            <w:tcMar>
              <w:top w:w="90" w:type="dxa"/>
              <w:start w:w="100" w:type="dxa"/>
              <w:bottom w:w="90" w:type="dxa"/>
              <w:end w:w="100" w:type="dxa"/>
            </w:tcMar>
          </w:tcPr>
          <w:p>
            <w:pPr>
              <w:spacing w:after="0" w:line="240" w:lineRule="auto"/>
            </w:pPr>
            <w:r/>
            <w:r>
              <w:rPr>
                <w:rFonts w:ascii="Aptos" w:hAnsi="Aptos" w:eastAsia="Aptos"/>
                <w:b w:val="0"/>
                <w:color w:val="302B31"/>
                <w:sz w:val="15"/>
              </w:rPr>
              <w:t>Timestamped actions such as imports and approvals with compact details.</w:t>
            </w:r>
          </w:p>
        </w:tc>
      </w:tr>
      <w:tr>
        <w:trPr>
          <w:cantSplit/>
        </w:trPr>
        <w:tc>
          <w:tcPr>
            <w:tcW w:type="dxa" w:w="2304"/>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`users`</w:t>
            </w:r>
          </w:p>
        </w:tc>
        <w:tc>
          <w:tcPr>
            <w:tcW w:type="dxa" w:w="7848"/>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Local prototype user credentials/role information.</w:t>
            </w:r>
          </w:p>
        </w:tc>
      </w:tr>
    </w:tbl>
    <w:p>
      <w:pPr>
        <w:spacing w:after="0"/>
      </w:pPr>
    </w:p>
    <w:p>
      <w:pPr>
        <w:pStyle w:val="Heading2"/>
        <w:keepNext/>
      </w:pPr>
      <w:r>
        <w:t>API route families</w:t>
      </w:r>
    </w:p>
    <w:p>
      <w:r>
        <w:t>API paths are served by the local Python server. Most API routes require a session. The table below is a human-oriented overview of major route families, not a complete API specification.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Purpose</w:t>
            </w:r>
          </w:p>
        </w:tc>
        <w:tc>
          <w:tcPr>
            <w:tcW w:type="dxa" w:w="7776"/>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Route family / examples</w:t>
            </w:r>
          </w:p>
        </w:tc>
      </w:tr>
      <w:tr>
        <w:trPr>
          <w:cantSplit/>
        </w:trPr>
        <w:tc>
          <w:tcPr>
            <w:tcW w:type="dxa" w:w="2376"/>
            <w:vAlign w:val="center"/>
            <w:tcMar>
              <w:top w:w="90" w:type="dxa"/>
              <w:start w:w="100" w:type="dxa"/>
              <w:bottom w:w="90" w:type="dxa"/>
              <w:end w:w="100" w:type="dxa"/>
            </w:tcMar>
          </w:tcPr>
          <w:p>
            <w:pPr>
              <w:spacing w:after="0" w:line="240" w:lineRule="auto"/>
            </w:pPr>
            <w:r/>
            <w:r>
              <w:rPr>
                <w:rFonts w:ascii="Aptos" w:hAnsi="Aptos" w:eastAsia="Aptos"/>
                <w:b w:val="0"/>
                <w:color w:val="302B31"/>
                <w:sz w:val="14"/>
              </w:rPr>
              <w:t>Health/session</w:t>
            </w:r>
          </w:p>
        </w:tc>
        <w:tc>
          <w:tcPr>
            <w:tcW w:type="dxa" w:w="7776"/>
            <w:vAlign w:val="center"/>
            <w:tcMar>
              <w:top w:w="90" w:type="dxa"/>
              <w:start w:w="100" w:type="dxa"/>
              <w:bottom w:w="90" w:type="dxa"/>
              <w:end w:w="100" w:type="dxa"/>
            </w:tcMar>
          </w:tcPr>
          <w:p>
            <w:pPr>
              <w:spacing w:after="0" w:line="240" w:lineRule="auto"/>
            </w:pPr>
            <w:r/>
            <w:r>
              <w:rPr>
                <w:rFonts w:ascii="Aptos" w:hAnsi="Aptos" w:eastAsia="Aptos"/>
                <w:b w:val="0"/>
                <w:color w:val="302B31"/>
                <w:sz w:val="14"/>
              </w:rPr>
              <w:t>`GET /api/health`, `POST /api/demo-login`, `POST /api/login`, `GET /api/me`, `GET /api/logout`.</w:t>
            </w:r>
          </w:p>
        </w:tc>
      </w:tr>
      <w:tr>
        <w:trPr>
          <w:cantSplit/>
        </w:trPr>
        <w:tc>
          <w:tcPr>
            <w:tcW w:type="dxa" w:w="23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4"/>
              </w:rPr>
              <w:t>Patient list and context</w:t>
            </w:r>
          </w:p>
        </w:tc>
        <w:tc>
          <w:tcPr>
            <w:tcW w:type="dxa" w:w="77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4"/>
              </w:rPr>
              <w:t>`GET /api/patients`; `GET /api/patients/{id}/summary`, `/timeline`, `/journey`, `/quality`, `/since`, `/series`.</w:t>
            </w:r>
          </w:p>
        </w:tc>
      </w:tr>
      <w:tr>
        <w:trPr>
          <w:cantSplit/>
        </w:trPr>
        <w:tc>
          <w:tcPr>
            <w:tcW w:type="dxa" w:w="2376"/>
            <w:vAlign w:val="center"/>
            <w:tcMar>
              <w:top w:w="90" w:type="dxa"/>
              <w:start w:w="100" w:type="dxa"/>
              <w:bottom w:w="90" w:type="dxa"/>
              <w:end w:w="100" w:type="dxa"/>
            </w:tcMar>
          </w:tcPr>
          <w:p>
            <w:pPr>
              <w:spacing w:after="0" w:line="240" w:lineRule="auto"/>
            </w:pPr>
            <w:r/>
            <w:r>
              <w:rPr>
                <w:rFonts w:ascii="Aptos" w:hAnsi="Aptos" w:eastAsia="Aptos"/>
                <w:b w:val="0"/>
                <w:color w:val="302B31"/>
                <w:sz w:val="14"/>
              </w:rPr>
              <w:t>Measurements and records</w:t>
            </w:r>
          </w:p>
        </w:tc>
        <w:tc>
          <w:tcPr>
            <w:tcW w:type="dxa" w:w="7776"/>
            <w:vAlign w:val="center"/>
            <w:tcMar>
              <w:top w:w="90" w:type="dxa"/>
              <w:start w:w="100" w:type="dxa"/>
              <w:bottom w:w="90" w:type="dxa"/>
              <w:end w:w="100" w:type="dxa"/>
            </w:tcMar>
          </w:tcPr>
          <w:p>
            <w:pPr>
              <w:spacing w:after="0" w:line="240" w:lineRule="auto"/>
            </w:pPr>
            <w:r/>
            <w:r>
              <w:rPr>
                <w:rFonts w:ascii="Aptos" w:hAnsi="Aptos" w:eastAsia="Aptos"/>
                <w:b w:val="0"/>
                <w:color w:val="302B31"/>
                <w:sz w:val="14"/>
              </w:rPr>
              <w:t>`GET/POST /api/patients/{id}/measurements`; `GET/POST /api/patients/{id}/cycles`; `GET/POST /api/patients/{id}/symptoms`.</w:t>
            </w:r>
          </w:p>
        </w:tc>
      </w:tr>
      <w:tr>
        <w:trPr>
          <w:cantSplit/>
        </w:trPr>
        <w:tc>
          <w:tcPr>
            <w:tcW w:type="dxa" w:w="23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4"/>
              </w:rPr>
              <w:t>Reports and review</w:t>
            </w:r>
          </w:p>
        </w:tc>
        <w:tc>
          <w:tcPr>
            <w:tcW w:type="dxa" w:w="77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4"/>
              </w:rPr>
              <w:t>`GET/POST /api/patients/{id}/documents`; `GET /api/documents/{id}`; `POST /api/fields/{id}` for approve/reject; `POST /api/documents/{id}/fields` for adding a candidate field.</w:t>
            </w:r>
          </w:p>
        </w:tc>
      </w:tr>
      <w:tr>
        <w:trPr>
          <w:cantSplit/>
        </w:trPr>
        <w:tc>
          <w:tcPr>
            <w:tcW w:type="dxa" w:w="2376"/>
            <w:vAlign w:val="center"/>
            <w:tcMar>
              <w:top w:w="90" w:type="dxa"/>
              <w:start w:w="100" w:type="dxa"/>
              <w:bottom w:w="90" w:type="dxa"/>
              <w:end w:w="100" w:type="dxa"/>
            </w:tcMar>
          </w:tcPr>
          <w:p>
            <w:pPr>
              <w:spacing w:after="0" w:line="240" w:lineRule="auto"/>
            </w:pPr>
            <w:r/>
            <w:r>
              <w:rPr>
                <w:rFonts w:ascii="Aptos" w:hAnsi="Aptos" w:eastAsia="Aptos"/>
                <w:b w:val="0"/>
                <w:color w:val="302B31"/>
                <w:sz w:val="14"/>
              </w:rPr>
              <w:t>Physiological data</w:t>
            </w:r>
          </w:p>
        </w:tc>
        <w:tc>
          <w:tcPr>
            <w:tcW w:type="dxa" w:w="7776"/>
            <w:vAlign w:val="center"/>
            <w:tcMar>
              <w:top w:w="90" w:type="dxa"/>
              <w:start w:w="100" w:type="dxa"/>
              <w:bottom w:w="90" w:type="dxa"/>
              <w:end w:w="100" w:type="dxa"/>
            </w:tcMar>
          </w:tcPr>
          <w:p>
            <w:pPr>
              <w:spacing w:after="0" w:line="240" w:lineRule="auto"/>
            </w:pPr>
            <w:r/>
            <w:r>
              <w:rPr>
                <w:rFonts w:ascii="Aptos" w:hAnsi="Aptos" w:eastAsia="Aptos"/>
                <w:b w:val="0"/>
                <w:color w:val="302B31"/>
                <w:sz w:val="14"/>
              </w:rPr>
              <w:t>`POST /api/patients/{id}/timeseries/preview`; `POST /api/patients/{id}/timeseries` to import.</w:t>
            </w:r>
          </w:p>
        </w:tc>
      </w:tr>
      <w:tr>
        <w:trPr>
          <w:cantSplit/>
        </w:trPr>
        <w:tc>
          <w:tcPr>
            <w:tcW w:type="dxa" w:w="23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4"/>
              </w:rPr>
              <w:t>Twin and prediction</w:t>
            </w:r>
          </w:p>
        </w:tc>
        <w:tc>
          <w:tcPr>
            <w:tcW w:type="dxa" w:w="77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4"/>
              </w:rPr>
              <w:t>`GET /api/patients/{id}/twin`; `POST /api/patients/{id}/twin/update`; `GET /api/patients/{id}/twin/compare?a=...&amp;b=...`; `POST /api/patients/{id}/predict`; `GET /api/patients/{id}/predictions`; `POST /api/predictions/{id}/outcome`.</w:t>
            </w:r>
          </w:p>
        </w:tc>
      </w:tr>
      <w:tr>
        <w:trPr>
          <w:cantSplit/>
        </w:trPr>
        <w:tc>
          <w:tcPr>
            <w:tcW w:type="dxa" w:w="2376"/>
            <w:vAlign w:val="center"/>
            <w:tcMar>
              <w:top w:w="90" w:type="dxa"/>
              <w:start w:w="100" w:type="dxa"/>
              <w:bottom w:w="90" w:type="dxa"/>
              <w:end w:w="100" w:type="dxa"/>
            </w:tcMar>
          </w:tcPr>
          <w:p>
            <w:pPr>
              <w:spacing w:after="0" w:line="240" w:lineRule="auto"/>
            </w:pPr>
            <w:r/>
            <w:r>
              <w:rPr>
                <w:rFonts w:ascii="Aptos" w:hAnsi="Aptos" w:eastAsia="Aptos"/>
                <w:b w:val="0"/>
                <w:color w:val="302B31"/>
                <w:sz w:val="14"/>
              </w:rPr>
              <w:t>Doctor Brief and configuration</w:t>
            </w:r>
          </w:p>
        </w:tc>
        <w:tc>
          <w:tcPr>
            <w:tcW w:type="dxa" w:w="7776"/>
            <w:vAlign w:val="center"/>
            <w:tcMar>
              <w:top w:w="90" w:type="dxa"/>
              <w:start w:w="100" w:type="dxa"/>
              <w:bottom w:w="90" w:type="dxa"/>
              <w:end w:w="100" w:type="dxa"/>
            </w:tcMar>
          </w:tcPr>
          <w:p>
            <w:pPr>
              <w:spacing w:after="0" w:line="240" w:lineRule="auto"/>
            </w:pPr>
            <w:r/>
            <w:r>
              <w:rPr>
                <w:rFonts w:ascii="Aptos" w:hAnsi="Aptos" w:eastAsia="Aptos"/>
                <w:b w:val="0"/>
                <w:color w:val="302B31"/>
                <w:sz w:val="14"/>
              </w:rPr>
              <w:t>`GET /api/patients/{id}/brief`; `GET /api/patients/{id}/report.pdf`; `GET /api/model`; demo-only `POST /api/reset` when enabled.</w:t>
            </w:r>
          </w:p>
        </w:tc>
      </w:tr>
    </w:tbl>
    <w:p>
      <w:pPr>
        <w:spacing w:after="0"/>
      </w:pPr>
    </w:p>
    <w:p>
      <w:pPr>
        <w:pStyle w:val="Heading2"/>
        <w:keepNext/>
      </w:pPr>
      <w:r>
        <w:t>Data flow example: approving a report field</w:t>
      </w:r>
    </w:p>
    <w:p>
      <w:pPr>
        <w:spacing w:after="60"/>
        <w:ind w:left="461" w:hanging="374"/>
      </w:pPr>
      <w:r>
        <w:rPr>
          <w:b/>
        </w:rPr>
        <w:t xml:space="preserve">1. </w:t>
      </w:r>
      <w:r>
        <w:t>The UI sends an approval request to `/api/fields/{id}` with the edited fields.</w:t>
      </w:r>
    </w:p>
    <w:p>
      <w:pPr>
        <w:spacing w:after="60"/>
        <w:ind w:left="461" w:hanging="374"/>
      </w:pPr>
      <w:r>
        <w:rPr>
          <w:b/>
        </w:rPr>
        <w:t xml:space="preserve">2. </w:t>
      </w:r>
      <w:r>
        <w:t>The server checks that the field exists, is not already approved, has a numeric value, test name, unit and valid date.</w:t>
      </w:r>
    </w:p>
    <w:p>
      <w:pPr>
        <w:spacing w:after="60"/>
        <w:ind w:left="461" w:hanging="374"/>
      </w:pPr>
      <w:r>
        <w:rPr>
          <w:b/>
        </w:rPr>
        <w:t xml:space="preserve">3. </w:t>
      </w:r>
      <w:r>
        <w:t>The server inserts a verified measurement linked to the report and page, changes the field status to approved and writes an audit entry.</w:t>
      </w:r>
    </w:p>
    <w:p>
      <w:pPr>
        <w:spacing w:after="60"/>
        <w:ind w:left="461" w:hanging="374"/>
      </w:pPr>
      <w:r>
        <w:rPr>
          <w:b/>
        </w:rPr>
        <w:t xml:space="preserve">4. </w:t>
      </w:r>
      <w:r>
        <w:t>If requested, it recomputes the patient’s Twin and returns the actual result. The UI shows success only after the operation completes.</w:t>
      </w:r>
    </w:p>
    <w:p>
      <w:pPr>
        <w:pStyle w:val="Heading1"/>
        <w:keepNext/>
      </w:pPr>
      <w:r>
        <w:t>14. Safety, privacy, and honest limitations</w:t>
      </w:r>
    </w:p>
    <w:p>
      <w:pPr>
        <w:pStyle w:val="Heading2"/>
        <w:keepNext/>
      </w:pPr>
      <w:r>
        <w:t>Safety behaviours that are implemented</w:t>
      </w:r>
    </w:p>
    <w:p>
      <w:pPr>
        <w:pStyle w:val="ListBullet"/>
        <w:spacing w:after="40"/>
      </w:pPr>
      <w:r>
        <w:t>Pending extracted fields are not counted as verified measurements and are not used in the Twin/prediction until approved.</w:t>
      </w:r>
    </w:p>
    <w:p>
      <w:pPr>
        <w:pStyle w:val="ListBullet"/>
        <w:spacing w:after="40"/>
      </w:pPr>
      <w:r>
        <w:t>Uploads have allowed extensions, a 10 MB size limit, and PDF/PNG/JPG content-signature checks; unsupported or mismatched content is rejected.</w:t>
      </w:r>
    </w:p>
    <w:p>
      <w:pPr>
        <w:pStyle w:val="ListBullet"/>
        <w:spacing w:after="40"/>
      </w:pPr>
      <w:r>
        <w:t>Manual measurement values require a number, test name, unit and ISO date; cycle dates and symptom severity are validated.</w:t>
      </w:r>
    </w:p>
    <w:p>
      <w:pPr>
        <w:pStyle w:val="ListBullet"/>
        <w:spacing w:after="40"/>
      </w:pPr>
      <w:r>
        <w:t>Time-series import reports duplicates, missing values, invalid timestamps, range violations and glucose gaps; out-of-range data are tagged rather than silently treated as good-quality samples.</w:t>
      </w:r>
    </w:p>
    <w:p>
      <w:pPr>
        <w:pStyle w:val="ListBullet"/>
        <w:spacing w:after="40"/>
      </w:pPr>
      <w:r>
        <w:t>Write routes require the appropriate HTTP method; unknown or invalid actions return error status rather than false success.</w:t>
      </w:r>
    </w:p>
    <w:p>
      <w:pPr>
        <w:pStyle w:val="ListBullet"/>
        <w:spacing w:after="40"/>
      </w:pPr>
      <w:r>
        <w:t>The static preview locks backend-write actions and displays an explicit “Unavailable in the static preview” message.</w:t>
      </w:r>
    </w:p>
    <w:p>
      <w:pPr>
        <w:pStyle w:val="ListBullet"/>
        <w:spacing w:after="40"/>
      </w:pPr>
      <w:r>
        <w:t>The UI distinguishes synthetic seeded data from values a user uploads or enters, which are shown as provided.</w:t>
      </w:r>
    </w:p>
    <w:p>
      <w:pPr>
        <w:pStyle w:val="ListBullet"/>
        <w:spacing w:after="40"/>
      </w:pPr>
      <w:r>
        <w:t>Twin and prediction pages explain their computational scope and validation limitations.</w:t>
      </w:r>
    </w:p>
    <w:p>
      <w:pPr>
        <w:pStyle w:val="Heading2"/>
        <w:keepNext/>
      </w:pPr>
      <w:r>
        <w:t>What is not production-ready</w:t>
      </w:r>
    </w:p>
    <w:p>
      <w:pPr>
        <w:pStyle w:val="ListBullet"/>
        <w:spacing w:after="40"/>
      </w:pPr>
      <w:r>
        <w:t>The local demo sign-in is a development convenience. The package explicitly says it has no production-grade security or role-management interface.</w:t>
      </w:r>
    </w:p>
    <w:p>
      <w:pPr>
        <w:pStyle w:val="ListBullet"/>
        <w:spacing w:after="40"/>
      </w:pPr>
      <w:r>
        <w:t>Session storage is local/in-memory in the simple HTTP server; this is not a hardened multi-user deployment architecture.</w:t>
      </w:r>
    </w:p>
    <w:p>
      <w:pPr>
        <w:pStyle w:val="ListBullet"/>
        <w:spacing w:after="40"/>
      </w:pPr>
      <w:r>
        <w:t>There is no documented certification, regulatory clearance, or real-world clinical validation.</w:t>
      </w:r>
    </w:p>
    <w:p>
      <w:pPr>
        <w:pStyle w:val="ListBullet"/>
        <w:spacing w:after="40"/>
      </w:pPr>
      <w:r>
        <w:t>There is no direct live sensor / IoT integration; data arrives through imported files.</w:t>
      </w:r>
    </w:p>
    <w:p>
      <w:pPr>
        <w:pStyle w:val="ListBullet"/>
        <w:spacing w:after="40"/>
      </w:pPr>
      <w:r>
        <w:t>The model is trained and evaluated on synthetic data only, with no public or real clinical dataset used.</w:t>
      </w:r>
    </w:p>
    <w:p>
      <w:pPr>
        <w:pStyle w:val="ListBullet"/>
        <w:spacing w:after="40"/>
      </w:pPr>
      <w:r>
        <w:t>No uncertainty interval is generated and the score is not calibrated as a clinical probability.</w:t>
      </w:r>
    </w:p>
    <w:p>
      <w:pPr>
        <w:pStyle w:val="ListBullet"/>
        <w:spacing w:after="40"/>
      </w:pPr>
      <w:r>
        <w:t>The final reported QA covered Chromium and programmatic accessibility checks, not another browser matrix, a real device lab, or a screen-reader session.</w:t>
      </w:r>
    </w:p>
    <w:tbl>
      <w:tblPr>
        <w:tblW w:type="auto" w:w="0"/>
        <w:jc w:val="center"/>
        <w:tblLayout w:type="fixed"/>
        <w:tblLook w:firstColumn="1" w:firstRow="1" w:lastColumn="0" w:lastRow="0" w:noHBand="0" w:noVBand="1" w:val="04A0"/>
      </w:tblPr>
      <w:tblGrid>
        <w:gridCol w:w="10166"/>
      </w:tblGrid>
      <w:tr>
        <w:trPr>
          <w:cantSplit/>
        </w:trPr>
        <w:tc>
          <w:tcPr>
            <w:tcW w:type="dxa" w:w="10166"/>
            <w:shd w:fill="FBF5EA"/>
            <w:tcMar>
              <w:top w:w="140" w:type="dxa"/>
              <w:start w:w="180" w:type="dxa"/>
              <w:bottom w:w="140" w:type="dxa"/>
              <w:end w:w="180" w:type="dxa"/>
            </w:tcMar>
          </w:tcPr>
          <w:p>
            <w:pPr>
              <w:spacing w:after="60"/>
            </w:pPr>
            <w:r/>
            <w:r>
              <w:rPr>
                <w:b/>
                <w:color w:val="594052"/>
                <w:sz w:val="20"/>
              </w:rPr>
              <w:t>Safe wording for an evaluator</w:t>
            </w:r>
          </w:p>
          <w:p>
            <w:pPr>
              <w:spacing w:after="0" w:line="252" w:lineRule="auto"/>
            </w:pPr>
            <w:r>
              <w:rPr>
                <w:color w:val="302B31"/>
                <w:sz w:val="18"/>
              </w:rPr>
              <w:t>“NAARI is a local research prototype built around synthetic demo records. It demonstrates source-linked record review, data validation, versioned summaries and a clearly scoped experimental glucose prediction. It has not been clinically validated and is not for diagnosis or treatment decisions.”</w:t>
            </w:r>
          </w:p>
        </w:tc>
      </w:tr>
    </w:tbl>
    <w:p>
      <w:pPr>
        <w:spacing w:after="0"/>
      </w:pPr>
    </w:p>
    <w:p>
      <w:pPr>
        <w:pStyle w:val="Heading1"/>
        <w:keepNext/>
      </w:pPr>
      <w:r>
        <w:t>15. Testing and verification</w:t>
      </w:r>
    </w:p>
    <w:p>
      <w:pPr>
        <w:pStyle w:val="Heading2"/>
        <w:keepNext/>
      </w:pPr>
      <w:r>
        <w:t>What the tests cover</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Test file</w:t>
            </w:r>
          </w:p>
        </w:tc>
        <w:tc>
          <w:tcPr>
            <w:tcW w:type="dxa" w:w="6912"/>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Main purpose</w:t>
            </w:r>
          </w:p>
        </w:tc>
      </w:tr>
      <w:tr>
        <w:trPr>
          <w:cantSplit/>
        </w:trPr>
        <w:tc>
          <w:tcPr>
            <w:tcW w:type="dxa" w:w="324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`test_core.py`, `test_api.py`</w:t>
            </w:r>
          </w:p>
        </w:tc>
        <w:tc>
          <w:tcPr>
            <w:tcW w:type="dxa" w:w="6912"/>
            <w:vAlign w:val="center"/>
            <w:tcMar>
              <w:top w:w="90" w:type="dxa"/>
              <w:start w:w="100" w:type="dxa"/>
              <w:bottom w:w="90" w:type="dxa"/>
              <w:end w:w="100" w:type="dxa"/>
            </w:tcMar>
          </w:tcPr>
          <w:p>
            <w:pPr>
              <w:spacing w:after="0" w:line="240" w:lineRule="auto"/>
            </w:pPr>
            <w:r/>
            <w:r>
              <w:rPr>
                <w:rFonts w:ascii="Aptos" w:hAnsi="Aptos" w:eastAsia="Aptos"/>
                <w:b w:val="0"/>
                <w:color w:val="302B31"/>
                <w:sz w:val="15"/>
              </w:rPr>
              <w:t>Core engine, endpoints, import/review/Twin/outcome/PDF and API behaviour.</w:t>
            </w:r>
          </w:p>
        </w:tc>
      </w:tr>
      <w:tr>
        <w:trPr>
          <w:cantSplit/>
        </w:trPr>
        <w:tc>
          <w:tcPr>
            <w:tcW w:type="dxa" w:w="324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`test_twin_explain.py`, `test_scope_table.py`</w:t>
            </w:r>
          </w:p>
        </w:tc>
        <w:tc>
          <w:tcPr>
            <w:tcW w:type="dxa" w:w="6912"/>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Plain-language Twin explanation, source labels, technical details, and accurate scope/empty states.</w:t>
            </w:r>
          </w:p>
        </w:tc>
      </w:tr>
      <w:tr>
        <w:trPr>
          <w:cantSplit/>
        </w:trPr>
        <w:tc>
          <w:tcPr>
            <w:tcW w:type="dxa" w:w="324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`test_patient_counts.py`</w:t>
            </w:r>
          </w:p>
        </w:tc>
        <w:tc>
          <w:tcPr>
            <w:tcW w:type="dxa" w:w="6912"/>
            <w:vAlign w:val="center"/>
            <w:tcMar>
              <w:top w:w="90" w:type="dxa"/>
              <w:start w:w="100" w:type="dxa"/>
              <w:bottom w:w="90" w:type="dxa"/>
              <w:end w:w="100" w:type="dxa"/>
            </w:tcMar>
          </w:tcPr>
          <w:p>
            <w:pPr>
              <w:spacing w:after="0" w:line="240" w:lineRule="auto"/>
            </w:pPr>
            <w:r/>
            <w:r>
              <w:rPr>
                <w:rFonts w:ascii="Aptos" w:hAnsi="Aptos" w:eastAsia="Aptos"/>
                <w:b w:val="0"/>
                <w:color w:val="302B31"/>
                <w:sz w:val="15"/>
              </w:rPr>
              <w:t>Patient names and verified-measurement/lab/vital counts across API and interface.</w:t>
            </w:r>
          </w:p>
        </w:tc>
      </w:tr>
      <w:tr>
        <w:trPr>
          <w:cantSplit/>
        </w:trPr>
        <w:tc>
          <w:tcPr>
            <w:tcW w:type="dxa" w:w="324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`test_write_safety.py`, `test_preview_readonly.py`, `test_limitations.py`</w:t>
            </w:r>
          </w:p>
        </w:tc>
        <w:tc>
          <w:tcPr>
            <w:tcW w:type="dxa" w:w="6912"/>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Server-side action validation; honest read-only preview; clinical limitations and synthetic-data wording.</w:t>
            </w:r>
          </w:p>
        </w:tc>
      </w:tr>
      <w:tr>
        <w:trPr>
          <w:cantSplit/>
        </w:trPr>
        <w:tc>
          <w:tcPr>
            <w:tcW w:type="dxa" w:w="324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`test_navigation_race.py`</w:t>
            </w:r>
          </w:p>
        </w:tc>
        <w:tc>
          <w:tcPr>
            <w:tcW w:type="dxa" w:w="6912"/>
            <w:vAlign w:val="center"/>
            <w:tcMar>
              <w:top w:w="90" w:type="dxa"/>
              <w:start w:w="100" w:type="dxa"/>
              <w:bottom w:w="90" w:type="dxa"/>
              <w:end w:w="100" w:type="dxa"/>
            </w:tcMar>
          </w:tcPr>
          <w:p>
            <w:pPr>
              <w:spacing w:after="0" w:line="240" w:lineRule="auto"/>
            </w:pPr>
            <w:r/>
            <w:r>
              <w:rPr>
                <w:rFonts w:ascii="Aptos" w:hAnsi="Aptos" w:eastAsia="Aptos"/>
                <w:b w:val="0"/>
                <w:color w:val="302B31"/>
                <w:sz w:val="15"/>
              </w:rPr>
              <w:t>Prevents slower old navigation responses from replacing the latest selected patient/page.</w:t>
            </w:r>
          </w:p>
        </w:tc>
      </w:tr>
      <w:tr>
        <w:trPr>
          <w:cantSplit/>
        </w:trPr>
        <w:tc>
          <w:tcPr>
            <w:tcW w:type="dxa" w:w="324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`test_since_dates.py`</w:t>
            </w:r>
          </w:p>
        </w:tc>
        <w:tc>
          <w:tcPr>
            <w:tcW w:type="dxa" w:w="6912"/>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Custom date-range comparison, invalid/reversed/missing dates, and preview local computation.</w:t>
            </w:r>
          </w:p>
        </w:tc>
      </w:tr>
      <w:tr>
        <w:trPr>
          <w:cantSplit/>
        </w:trPr>
        <w:tc>
          <w:tcPr>
            <w:tcW w:type="dxa" w:w="324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`test_demo_flow.py`, `test_tour_states.py`, `test_tour_closeout.py`, `test_tour_browser.py`</w:t>
            </w:r>
          </w:p>
        </w:tc>
        <w:tc>
          <w:tcPr>
            <w:tcW w:type="dxa" w:w="6912"/>
            <w:vAlign w:val="center"/>
            <w:tcMar>
              <w:top w:w="90" w:type="dxa"/>
              <w:start w:w="100" w:type="dxa"/>
              <w:bottom w:w="90" w:type="dxa"/>
              <w:end w:w="100" w:type="dxa"/>
            </w:tcMar>
          </w:tcPr>
          <w:p>
            <w:pPr>
              <w:spacing w:after="0" w:line="240" w:lineRule="auto"/>
            </w:pPr>
            <w:r/>
            <w:r>
              <w:rPr>
                <w:rFonts w:ascii="Aptos" w:hAnsi="Aptos" w:eastAsia="Aptos"/>
                <w:b w:val="0"/>
                <w:color w:val="302B31"/>
                <w:sz w:val="15"/>
              </w:rPr>
              <w:t>10-step evaluator workflow, original guided tour, closing/back/next/return behaviour and browser interactions.</w:t>
            </w:r>
          </w:p>
        </w:tc>
      </w:tr>
      <w:tr>
        <w:trPr>
          <w:cantSplit/>
        </w:trPr>
        <w:tc>
          <w:tcPr>
            <w:tcW w:type="dxa" w:w="324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`test_brief_browser.py`</w:t>
            </w:r>
          </w:p>
        </w:tc>
        <w:tc>
          <w:tcPr>
            <w:tcW w:type="dxa" w:w="6912"/>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Patient-specific Doctor Brief, sections, selected patient, print/PDF and browser behaviour.</w:t>
            </w:r>
          </w:p>
        </w:tc>
      </w:tr>
      <w:tr>
        <w:trPr>
          <w:cantSplit/>
        </w:trPr>
        <w:tc>
          <w:tcPr>
            <w:tcW w:type="dxa" w:w="324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`test_audit.py`</w:t>
            </w:r>
          </w:p>
        </w:tc>
        <w:tc>
          <w:tcPr>
            <w:tcW w:type="dxa" w:w="6912"/>
            <w:vAlign w:val="center"/>
            <w:tcMar>
              <w:top w:w="90" w:type="dxa"/>
              <w:start w:w="100" w:type="dxa"/>
              <w:bottom w:w="90" w:type="dxa"/>
              <w:end w:w="100" w:type="dxa"/>
            </w:tcMar>
          </w:tcPr>
          <w:p>
            <w:pPr>
              <w:spacing w:after="0" w:line="240" w:lineRule="auto"/>
            </w:pPr>
            <w:r/>
            <w:r>
              <w:rPr>
                <w:rFonts w:ascii="Aptos" w:hAnsi="Aptos" w:eastAsia="Aptos"/>
                <w:b w:val="0"/>
                <w:color w:val="302B31"/>
                <w:sz w:val="15"/>
              </w:rPr>
              <w:t>Programmatic accessibility names, tables/headings, focus/contrast/overflow/placeholders/raw-key checks; not a certification.</w:t>
            </w:r>
          </w:p>
        </w:tc>
      </w:tr>
    </w:tbl>
    <w:p>
      <w:pPr>
        <w:spacing w:after="0"/>
      </w:pPr>
    </w:p>
    <w:p>
      <w:pPr>
        <w:pStyle w:val="Heading2"/>
        <w:keepNext/>
      </w:pPr>
      <w:r>
        <w:t>How to run all major tests</w:t>
      </w:r>
    </w:p>
    <w:tbl>
      <w:tblPr>
        <w:tblW w:type="auto" w:w="0"/>
        <w:tblLook w:firstColumn="1" w:firstRow="1" w:lastColumn="0" w:lastRow="0" w:noHBand="0" w:noVBand="1" w:val="04A0"/>
      </w:tblPr>
      <w:tblGrid>
        <w:gridCol w:w="10166"/>
      </w:tblGrid>
      <w:tr>
        <w:tc>
          <w:tcPr>
            <w:tcW w:type="dxa" w:w="10166"/>
            <w:shd w:fill="F3F0F4"/>
            <w:tcMar>
              <w:top w:w="110" w:type="dxa"/>
              <w:start w:w="140" w:type="dxa"/>
              <w:bottom w:w="110" w:type="dxa"/>
              <w:end w:w="140" w:type="dxa"/>
            </w:tcMar>
          </w:tcPr>
          <w:p>
            <w:pPr>
              <w:pStyle w:val="CodeText"/>
            </w:pPr>
            <w:r/>
            <w:r>
              <w:t>python3 tests/test_core.py</w:t>
            </w:r>
          </w:p>
          <w:p>
            <w:pPr>
              <w:pStyle w:val="CodeText"/>
            </w:pPr>
            <w:r>
              <w:t>python3 tests/test_api.py</w:t>
            </w:r>
          </w:p>
          <w:p>
            <w:pPr>
              <w:pStyle w:val="CodeText"/>
            </w:pPr>
            <w:r>
              <w:t>python3 tests/test_twin_explain.py</w:t>
            </w:r>
          </w:p>
          <w:p>
            <w:pPr>
              <w:pStyle w:val="CodeText"/>
            </w:pPr>
            <w:r>
              <w:t>python3 tests/test_patient_counts.py</w:t>
            </w:r>
          </w:p>
          <w:p>
            <w:pPr>
              <w:pStyle w:val="CodeText"/>
            </w:pPr>
            <w:r>
              <w:t>python3 tests/test_scope_table.py</w:t>
            </w:r>
          </w:p>
          <w:p>
            <w:pPr>
              <w:pStyle w:val="CodeText"/>
            </w:pPr>
            <w:r>
              <w:t>python3 tests/test_write_safety.py</w:t>
            </w:r>
          </w:p>
          <w:p>
            <w:pPr>
              <w:pStyle w:val="CodeText"/>
            </w:pPr>
            <w:r>
              <w:t>python3 tests/test_preview_readonly.py</w:t>
            </w:r>
          </w:p>
          <w:p>
            <w:pPr>
              <w:pStyle w:val="CodeText"/>
            </w:pPr>
            <w:r>
              <w:t>python3 tests/test_limitations.py</w:t>
            </w:r>
          </w:p>
          <w:p>
            <w:pPr>
              <w:pStyle w:val="CodeText"/>
            </w:pPr>
            <w:r>
              <w:t>python3 tests/test_navigation_race.py</w:t>
            </w:r>
          </w:p>
          <w:p>
            <w:pPr>
              <w:pStyle w:val="CodeText"/>
            </w:pPr>
            <w:r>
              <w:t>python3 tests/test_since_dates.py</w:t>
            </w:r>
          </w:p>
          <w:p>
            <w:pPr>
              <w:pStyle w:val="CodeText"/>
            </w:pPr>
            <w:r>
              <w:t>python3 tests/test_demo_flow.py</w:t>
            </w:r>
          </w:p>
          <w:p>
            <w:pPr>
              <w:pStyle w:val="CodeText"/>
            </w:pPr>
            <w:r>
              <w:t>python3 tests/test_audit.py</w:t>
            </w:r>
          </w:p>
          <w:p>
            <w:pPr>
              <w:pStyle w:val="CodeText"/>
            </w:pPr>
            <w:r>
              <w:t>python3 tests/test_brief_browser.py</w:t>
            </w:r>
          </w:p>
          <w:p>
            <w:pPr>
              <w:pStyle w:val="CodeText"/>
            </w:pPr>
            <w:r>
              <w:t>python3 tests/test_tour_states.py</w:t>
            </w:r>
          </w:p>
          <w:p>
            <w:pPr>
              <w:pStyle w:val="CodeText"/>
            </w:pPr>
            <w:r>
              <w:t>python3 tests/test_tour_closeout.py</w:t>
            </w:r>
          </w:p>
          <w:p>
            <w:pPr>
              <w:pStyle w:val="CodeText"/>
            </w:pPr>
            <w:r>
              <w:t>python3 tests/test_tour_browser.py</w:t>
            </w:r>
          </w:p>
        </w:tc>
      </w:tr>
    </w:tbl>
    <w:p>
      <w:pPr>
        <w:spacing w:after="0"/>
      </w:pPr>
    </w:p>
    <w:p>
      <w:r>
        <w:t>Run from the project root after the environment and database are prepared. The README notes that most browser tests require Playwright and Chromium. See the README for the full sequence and environment details.</w:t>
      </w:r>
    </w:p>
    <w:p>
      <w:pPr>
        <w:pStyle w:val="Heading2"/>
        <w:keepNext/>
      </w:pPr>
      <w:r>
        <w:t>Reported final verification</w:t>
      </w:r>
    </w:p>
    <w:p>
      <w:r>
        <w:t>The final test report supplied for this project stated that all 17 listed command runs completed and passed, with no test failures; `test_audit.py` was run twice in that list. Python compilation and `node --check web/ui2.js` also passed. The test environment used Python 3.12.3, Playwright 1.56.0, Chromium 141 and Tesseract. The scope of the report was Chromium only: no other browser, real-device testing, or screen-reader session was reported. These results do not establish clinical validity or production readiness.</w:t>
      </w:r>
    </w:p>
    <w:p>
      <w:pPr>
        <w:pStyle w:val="Heading1"/>
        <w:keepNext/>
      </w:pPr>
      <w:r>
        <w:t>16. Practical 15–20 minute demo script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Time</w:t>
            </w:r>
          </w:p>
        </w:tc>
        <w:tc>
          <w:tcPr>
            <w:tcW w:type="dxa" w:w="3816"/>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What to do</w:t>
            </w:r>
          </w:p>
        </w:tc>
        <w:tc>
          <w:tcPr>
            <w:tcW w:type="dxa" w:w="4896"/>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What to say / what it proves</w:t>
            </w:r>
          </w:p>
        </w:tc>
      </w:tr>
      <w:tr>
        <w:trPr>
          <w:cantSplit/>
        </w:trPr>
        <w:tc>
          <w:tcPr>
            <w:tcW w:type="dxa" w:w="144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0:00–2:00</w:t>
            </w:r>
          </w:p>
        </w:tc>
        <w:tc>
          <w:tcPr>
            <w:tcW w:type="dxa" w:w="381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Show the landing page and introduce NAARI.</w:t>
            </w:r>
          </w:p>
        </w:tc>
        <w:tc>
          <w:tcPr>
            <w:tcW w:type="dxa" w:w="489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“The problem is scattered, mixed-format patient records; our prototype organizes them and preserves provenance.” State that all seeded records are synthetic.</w:t>
            </w:r>
          </w:p>
        </w:tc>
      </w:tr>
      <w:tr>
        <w:trPr>
          <w:cantSplit/>
        </w:trPr>
        <w:tc>
          <w:tcPr>
            <w:tcW w:type="dxa" w:w="144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2:00–4:00</w:t>
            </w:r>
          </w:p>
        </w:tc>
        <w:tc>
          <w:tcPr>
            <w:tcW w:type="dxa" w:w="381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Open Demo Workspace, choose Ananya, inspect history and Overview.</w:t>
            </w:r>
          </w:p>
        </w:tc>
        <w:tc>
          <w:tcPr>
            <w:tcW w:type="dxa" w:w="489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Show named patient identity, data context, Patient Journey and what is/does not have a source.</w:t>
            </w:r>
          </w:p>
        </w:tc>
      </w:tr>
      <w:tr>
        <w:trPr>
          <w:cantSplit/>
        </w:trPr>
        <w:tc>
          <w:tcPr>
            <w:tcW w:type="dxa" w:w="144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4:00–5:00</w:t>
            </w:r>
          </w:p>
        </w:tc>
        <w:tc>
          <w:tcPr>
            <w:tcW w:type="dxa" w:w="381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Open Prediction / Data quality.</w:t>
            </w:r>
          </w:p>
        </w:tc>
        <w:tc>
          <w:tcPr>
            <w:tcW w:type="dxa" w:w="489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Explain why a prediction may be unavailable. A missing verified HbA1c is a gate, not a value to guess.</w:t>
            </w:r>
          </w:p>
        </w:tc>
      </w:tr>
      <w:tr>
        <w:trPr>
          <w:cantSplit/>
        </w:trPr>
        <w:tc>
          <w:tcPr>
            <w:tcW w:type="dxa" w:w="144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5:00–8:30</w:t>
            </w:r>
          </w:p>
        </w:tc>
        <w:tc>
          <w:tcPr>
            <w:tcW w:type="dxa" w:w="381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Open Reports and use the scanned synthetic sample. Inspect extracted candidates.</w:t>
            </w:r>
          </w:p>
        </w:tc>
        <w:tc>
          <w:tcPr>
            <w:tcW w:type="dxa" w:w="489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Show OCR as assisted extraction. Correct “HbAIc” to “HbA1c” by comparing with the original before approval. Show pending versus approved.</w:t>
            </w:r>
          </w:p>
        </w:tc>
      </w:tr>
      <w:tr>
        <w:trPr>
          <w:cantSplit/>
        </w:trPr>
        <w:tc>
          <w:tcPr>
            <w:tcW w:type="dxa" w:w="144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8:30–10:30</w:t>
            </w:r>
          </w:p>
        </w:tc>
        <w:tc>
          <w:tcPr>
            <w:tcW w:type="dxa" w:w="381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Approve valid candidates and inspect the new Twin version.</w:t>
            </w:r>
          </w:p>
        </w:tc>
        <w:tc>
          <w:tcPr>
            <w:tcW w:type="dxa" w:w="489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Explain verified measurement, source/page link, and the version diff.</w:t>
            </w:r>
          </w:p>
        </w:tc>
      </w:tr>
      <w:tr>
        <w:trPr>
          <w:cantSplit/>
        </w:trPr>
        <w:tc>
          <w:tcPr>
            <w:tcW w:type="dxa" w:w="144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10:30–13:30</w:t>
            </w:r>
          </w:p>
        </w:tc>
        <w:tc>
          <w:tcPr>
            <w:tcW w:type="dxa" w:w="381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Preview and import the sample new CGM batch, then update Twin.</w:t>
            </w:r>
          </w:p>
        </w:tc>
        <w:tc>
          <w:tcPr>
            <w:tcW w:type="dxa" w:w="489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Show coverage, gaps, duplicate/out-of-range checks, and the new version’s glucose summary.</w:t>
            </w:r>
          </w:p>
        </w:tc>
      </w:tr>
      <w:tr>
        <w:trPr>
          <w:cantSplit/>
        </w:trPr>
        <w:tc>
          <w:tcPr>
            <w:tcW w:type="dxa" w:w="144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13:30–15:30</w:t>
            </w:r>
          </w:p>
        </w:tc>
        <w:tc>
          <w:tcPr>
            <w:tcW w:type="dxa" w:w="381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Open Twin &amp; versions; compare v1 and v3.</w:t>
            </w:r>
          </w:p>
        </w:tc>
        <w:tc>
          <w:tcPr>
            <w:tcW w:type="dxa" w:w="489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Read the before/after summary in plain language. Point out that heart rate/steps/cycles/symptoms are not in the saved Twin state.</w:t>
            </w:r>
          </w:p>
        </w:tc>
      </w:tr>
      <w:tr>
        <w:trPr>
          <w:cantSplit/>
        </w:trPr>
        <w:tc>
          <w:tcPr>
            <w:tcW w:type="dxa" w:w="144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15:30–17:00</w:t>
            </w:r>
          </w:p>
        </w:tc>
        <w:tc>
          <w:tcPr>
            <w:tcW w:type="dxa" w:w="381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Open Prediction and prediction history.</w:t>
            </w:r>
          </w:p>
        </w:tc>
        <w:tc>
          <w:tcPr>
            <w:tcW w:type="dxa" w:w="489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Explain the 120-minute glucose excursion task, gating inputs, and why synthetic metrics do not prove clinical usefulness.</w:t>
            </w:r>
          </w:p>
        </w:tc>
      </w:tr>
      <w:tr>
        <w:trPr>
          <w:cantSplit/>
        </w:trPr>
        <w:tc>
          <w:tcPr>
            <w:tcW w:type="dxa" w:w="1440"/>
            <w:vAlign w:val="center"/>
            <w:tcMar>
              <w:top w:w="90" w:type="dxa"/>
              <w:start w:w="100" w:type="dxa"/>
              <w:bottom w:w="90" w:type="dxa"/>
              <w:end w:w="100" w:type="dxa"/>
            </w:tcMar>
          </w:tcPr>
          <w:p>
            <w:pPr>
              <w:spacing w:after="0" w:line="240" w:lineRule="auto"/>
            </w:pPr>
            <w:r/>
            <w:r>
              <w:rPr>
                <w:rFonts w:ascii="Aptos" w:hAnsi="Aptos" w:eastAsia="Aptos"/>
                <w:b w:val="0"/>
                <w:color w:val="302B31"/>
                <w:sz w:val="15"/>
              </w:rPr>
              <w:t>17:00–19:00</w:t>
            </w:r>
          </w:p>
        </w:tc>
        <w:tc>
          <w:tcPr>
            <w:tcW w:type="dxa" w:w="381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Open cycle/symptoms/clinical/wearable views, then Doctor Brief.</w:t>
            </w:r>
          </w:p>
        </w:tc>
        <w:tc>
          <w:tcPr>
            <w:tcW w:type="dxa" w:w="4896"/>
            <w:vAlign w:val="center"/>
            <w:tcMar>
              <w:top w:w="90" w:type="dxa"/>
              <w:start w:w="100" w:type="dxa"/>
              <w:bottom w:w="90" w:type="dxa"/>
              <w:end w:w="100" w:type="dxa"/>
            </w:tcMar>
          </w:tcPr>
          <w:p>
            <w:pPr>
              <w:spacing w:after="0" w:line="240" w:lineRule="auto"/>
            </w:pPr>
            <w:r/>
            <w:r>
              <w:rPr>
                <w:rFonts w:ascii="Aptos" w:hAnsi="Aptos" w:eastAsia="Aptos"/>
                <w:b w:val="0"/>
                <w:color w:val="302B31"/>
                <w:sz w:val="15"/>
              </w:rPr>
              <w:t>Show how separate evidence sources are organized and how the brief carries missing information, review items and limitations.</w:t>
            </w:r>
          </w:p>
        </w:tc>
      </w:tr>
      <w:tr>
        <w:trPr>
          <w:cantSplit/>
        </w:trPr>
        <w:tc>
          <w:tcPr>
            <w:tcW w:type="dxa" w:w="1440"/>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19:00–20:00</w:t>
            </w:r>
          </w:p>
        </w:tc>
        <w:tc>
          <w:tcPr>
            <w:tcW w:type="dxa" w:w="381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End on scope and limitations.</w:t>
            </w:r>
          </w:p>
        </w:tc>
        <w:tc>
          <w:tcPr>
            <w:tcW w:type="dxa" w:w="489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5"/>
              </w:rPr>
              <w:t>“This is a research prototype using synthetic data, not a diagnostic system. Next would be real-data validation, stronger security and broader usability evaluation.”</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E9E2F0"/>
            <w:tcMar>
              <w:top w:w="140" w:type="dxa"/>
              <w:start w:w="180" w:type="dxa"/>
              <w:bottom w:w="140" w:type="dxa"/>
              <w:end w:w="180" w:type="dxa"/>
            </w:tcMar>
          </w:tcPr>
          <w:p>
            <w:pPr>
              <w:spacing w:after="60"/>
            </w:pPr>
            <w:r/>
            <w:r>
              <w:rPr>
                <w:b/>
                <w:color w:val="594052"/>
                <w:sz w:val="20"/>
              </w:rPr>
              <w:t>If you only have five minutes</w:t>
            </w:r>
          </w:p>
          <w:p>
            <w:pPr>
              <w:spacing w:after="0" w:line="252" w:lineRule="auto"/>
            </w:pPr>
            <w:r>
              <w:rPr>
                <w:color w:val="302B31"/>
                <w:sz w:val="18"/>
              </w:rPr>
              <w:t>Show Overview → Reports/review → Twin version comparison → Prediction limitations → Doctor Brief. That sequence explains the main data provenance and summary story without rushing through every record screen.</w:t>
            </w:r>
          </w:p>
        </w:tc>
      </w:tr>
    </w:tbl>
    <w:p>
      <w:pPr>
        <w:spacing w:after="0"/>
      </w:pPr>
    </w:p>
    <w:p>
      <w:pPr>
        <w:pStyle w:val="Heading1"/>
        <w:keepNext/>
      </w:pPr>
      <w:r>
        <w:t>17. Viva questions and clear answers</w:t>
      </w:r>
    </w:p>
    <w:p>
      <w:pPr>
        <w:keepNext/>
        <w:spacing w:before="80" w:after="20"/>
      </w:pPr>
      <w:r>
        <w:rPr>
          <w:b/>
          <w:color w:val="76556F"/>
          <w:sz w:val="18"/>
        </w:rPr>
        <w:t>Q. What is NAARI?</w:t>
      </w:r>
    </w:p>
    <w:p>
      <w:pPr>
        <w:spacing w:after="60"/>
        <w:ind w:left="259"/>
      </w:pPr>
      <w:r>
        <w:t>A. A local web-based research prototype that organizes PCOS-related synthetic patient records, creates versioned summaries of verified measurements and glucose data, and offers a separately labelled experimental glucose prediction.</w:t>
      </w:r>
    </w:p>
    <w:p>
      <w:pPr>
        <w:keepNext/>
        <w:spacing w:before="80" w:after="20"/>
      </w:pPr>
      <w:r>
        <w:rPr>
          <w:b/>
          <w:color w:val="76556F"/>
          <w:sz w:val="18"/>
        </w:rPr>
        <w:t>Q. Why did you build it?</w:t>
      </w:r>
    </w:p>
    <w:p>
      <w:pPr>
        <w:spacing w:after="60"/>
        <w:ind w:left="259"/>
      </w:pPr>
      <w:r>
        <w:t>A. To demonstrate a traceable workflow across reports, clinical measurements, patient-reported cycle/symptom records and physiological time-series, while making missing information and sources visible.</w:t>
      </w:r>
    </w:p>
    <w:p>
      <w:pPr>
        <w:keepNext/>
        <w:spacing w:before="80" w:after="20"/>
      </w:pPr>
      <w:r>
        <w:rPr>
          <w:b/>
          <w:color w:val="76556F"/>
          <w:sz w:val="18"/>
        </w:rPr>
        <w:t>Q. What is a Digital Twin here?</w:t>
      </w:r>
    </w:p>
    <w:p>
      <w:pPr>
        <w:spacing w:after="60"/>
        <w:ind w:left="259"/>
      </w:pPr>
      <w:r>
        <w:t>A. A saved, versioned state containing the latest verified clinical measurement per test and a 14-day glucose summary, with changes, reasons, sources and missing-data notes.</w:t>
      </w:r>
    </w:p>
    <w:p>
      <w:pPr>
        <w:keepNext/>
        <w:spacing w:before="80" w:after="20"/>
      </w:pPr>
      <w:r>
        <w:rPr>
          <w:b/>
          <w:color w:val="76556F"/>
          <w:sz w:val="18"/>
        </w:rPr>
        <w:t>Q. Does the Twin include cycles and symptoms?</w:t>
      </w:r>
    </w:p>
    <w:p>
      <w:pPr>
        <w:spacing w:after="60"/>
        <w:ind w:left="259"/>
      </w:pPr>
      <w:r>
        <w:t>A. No. They are stored and summarized separately in the Patient Journey and Records sections. They are not part of the current computational Twin state.</w:t>
      </w:r>
    </w:p>
    <w:p>
      <w:pPr>
        <w:keepNext/>
        <w:spacing w:before="80" w:after="20"/>
      </w:pPr>
      <w:r>
        <w:rPr>
          <w:b/>
          <w:color w:val="76556F"/>
          <w:sz w:val="18"/>
        </w:rPr>
        <w:t>Q. Does heart rate and steps go into the Twin?</w:t>
      </w:r>
    </w:p>
    <w:p>
      <w:pPr>
        <w:spacing w:after="60"/>
        <w:ind w:left="259"/>
      </w:pPr>
      <w:r>
        <w:t>A. No. The saved Twin summary is clinical measurements plus glucose summary. Recent heart-rate and steps samples are used by the separate prediction model when available.</w:t>
      </w:r>
    </w:p>
    <w:p>
      <w:pPr>
        <w:keepNext/>
        <w:spacing w:before="80" w:after="20"/>
      </w:pPr>
      <w:r>
        <w:rPr>
          <w:b/>
          <w:color w:val="76556F"/>
          <w:sz w:val="18"/>
        </w:rPr>
        <w:t>Q. What is the prediction?</w:t>
      </w:r>
    </w:p>
    <w:p>
      <w:pPr>
        <w:spacing w:after="60"/>
        <w:ind w:left="259"/>
      </w:pPr>
      <w:r>
        <w:t>A. It estimates whether glucose will exceed 180 mg/dL at any point in the next 120 minutes, given current glucose is at or below 180 mg/dL.</w:t>
      </w:r>
    </w:p>
    <w:p>
      <w:pPr>
        <w:keepNext/>
        <w:spacing w:before="80" w:after="20"/>
      </w:pPr>
      <w:r>
        <w:rPr>
          <w:b/>
          <w:color w:val="76556F"/>
          <w:sz w:val="18"/>
        </w:rPr>
        <w:t>Q. Why is HbA1c required?</w:t>
      </w:r>
    </w:p>
    <w:p>
      <w:pPr>
        <w:spacing w:after="60"/>
        <w:ind w:left="259"/>
      </w:pPr>
      <w:r>
        <w:t>A. The existing model feature vector includes the latest verified HbA1c, so the application refuses inference when it is missing rather than guessing or treating it as normal.</w:t>
      </w:r>
    </w:p>
    <w:p>
      <w:pPr>
        <w:keepNext/>
        <w:spacing w:before="80" w:after="20"/>
      </w:pPr>
      <w:r>
        <w:rPr>
          <w:b/>
          <w:color w:val="76556F"/>
          <w:sz w:val="18"/>
        </w:rPr>
        <w:t>Q. Why do report values need approval?</w:t>
      </w:r>
    </w:p>
    <w:p>
      <w:pPr>
        <w:spacing w:after="60"/>
        <w:ind w:left="259"/>
      </w:pPr>
      <w:r>
        <w:t>A. OCR and parsing can misread labels, units, dates or numbers. Human review makes extracted values into verified measurements and keeps them linked to the source.</w:t>
      </w:r>
    </w:p>
    <w:p>
      <w:pPr>
        <w:keepNext/>
        <w:spacing w:before="80" w:after="20"/>
      </w:pPr>
      <w:r>
        <w:rPr>
          <w:b/>
          <w:color w:val="76556F"/>
          <w:sz w:val="18"/>
        </w:rPr>
        <w:t>Q. What does the model use?</w:t>
      </w:r>
    </w:p>
    <w:p>
      <w:pPr>
        <w:spacing w:after="60"/>
        <w:ind w:left="259"/>
      </w:pPr>
      <w:r>
        <w:t>A. Twelve features from recent glucose, heart rate, steps, time of day and HbA1c, including summary statistics and glucose trend features.</w:t>
      </w:r>
    </w:p>
    <w:p>
      <w:pPr>
        <w:keepNext/>
        <w:spacing w:before="80" w:after="20"/>
      </w:pPr>
      <w:r>
        <w:rPr>
          <w:b/>
          <w:color w:val="76556F"/>
          <w:sz w:val="18"/>
        </w:rPr>
        <w:t>Q. Why are the metrics so high?</w:t>
      </w:r>
    </w:p>
    <w:p>
      <w:pPr>
        <w:spacing w:after="60"/>
        <w:ind w:left="259"/>
      </w:pPr>
      <w:r>
        <w:t>A. The synthetic generator embeds relationships involving a hidden patient factor and meal-response size; the model can learn those synthetic rules. That does not establish performance on real patients.</w:t>
      </w:r>
    </w:p>
    <w:p>
      <w:pPr>
        <w:keepNext/>
        <w:spacing w:before="80" w:after="20"/>
      </w:pPr>
      <w:r>
        <w:rPr>
          <w:b/>
          <w:color w:val="76556F"/>
          <w:sz w:val="18"/>
        </w:rPr>
        <w:t>Q. What data was used to train it?</w:t>
      </w:r>
    </w:p>
    <w:p>
      <w:pPr>
        <w:spacing w:after="60"/>
        <w:ind w:left="259"/>
      </w:pPr>
      <w:r>
        <w:t>A. Synthetic data generated by `naari/synth.py` with seed 7: 40 fictional patients, 14 days and five-minute samples. No real/public clinical dataset was used for the reported model.</w:t>
      </w:r>
    </w:p>
    <w:p>
      <w:pPr>
        <w:keepNext/>
        <w:spacing w:before="80" w:after="20"/>
      </w:pPr>
      <w:r>
        <w:rPr>
          <w:b/>
          <w:color w:val="76556F"/>
          <w:sz w:val="18"/>
        </w:rPr>
        <w:t>Q. What is a Twin snapshot?</w:t>
      </w:r>
    </w:p>
    <w:p>
      <w:pPr>
        <w:spacing w:after="60"/>
        <w:ind w:left="259"/>
      </w:pPr>
      <w:r>
        <w:t>A. A dated version of the defined state. It keeps a JSON representation plus the differences from the preceding version and source explanations where available.</w:t>
      </w:r>
    </w:p>
    <w:p>
      <w:pPr>
        <w:keepNext/>
        <w:spacing w:before="80" w:after="20"/>
      </w:pPr>
      <w:r>
        <w:rPr>
          <w:b/>
          <w:color w:val="76556F"/>
          <w:sz w:val="18"/>
        </w:rPr>
        <w:t>Q. How are duplicates handled in time-series?</w:t>
      </w:r>
    </w:p>
    <w:p>
      <w:pPr>
        <w:spacing w:after="60"/>
        <w:ind w:left="259"/>
      </w:pPr>
      <w:r>
        <w:t>A. A unique key on patient + metric + timestamp prevents the same stream reading from being inserted twice; the preview also reports already-stored duplicates.</w:t>
      </w:r>
    </w:p>
    <w:p>
      <w:pPr>
        <w:keepNext/>
        <w:spacing w:before="80" w:after="20"/>
      </w:pPr>
      <w:r>
        <w:rPr>
          <w:b/>
          <w:color w:val="76556F"/>
          <w:sz w:val="18"/>
        </w:rPr>
        <w:t>Q. What happens when a prediction horizon is not observed?</w:t>
      </w:r>
    </w:p>
    <w:p>
      <w:pPr>
        <w:spacing w:after="60"/>
        <w:ind w:left="259"/>
      </w:pPr>
      <w:r>
        <w:t>A. Outcome recording refuses to store an outcome until enough valid stored CGM points cover the future 120-minute horizon.</w:t>
      </w:r>
    </w:p>
    <w:p>
      <w:pPr>
        <w:keepNext/>
        <w:spacing w:before="80" w:after="20"/>
      </w:pPr>
      <w:r>
        <w:rPr>
          <w:b/>
          <w:color w:val="76556F"/>
          <w:sz w:val="18"/>
        </w:rPr>
        <w:t>Q. Why is the preview read-only?</w:t>
      </w:r>
    </w:p>
    <w:p>
      <w:pPr>
        <w:spacing w:after="60"/>
        <w:ind w:left="259"/>
      </w:pPr>
      <w:r>
        <w:t>A. It embeds a snapshot and has no live backend to persist writes. The preview allows supported viewing interactions and explains why upload/approve/import/Twin-update/prediction writes require the full app.</w:t>
      </w:r>
    </w:p>
    <w:p>
      <w:pPr>
        <w:keepNext/>
        <w:spacing w:before="80" w:after="20"/>
      </w:pPr>
      <w:r>
        <w:rPr>
          <w:b/>
          <w:color w:val="76556F"/>
          <w:sz w:val="18"/>
        </w:rPr>
        <w:t>Q. Is it a real medical device?</w:t>
      </w:r>
    </w:p>
    <w:p>
      <w:pPr>
        <w:spacing w:after="60"/>
        <w:ind w:left="259"/>
      </w:pPr>
      <w:r>
        <w:t>A. No. It is a research prototype and not clinically validated. It is not intended for diagnosis or treatment decisions.</w:t>
      </w:r>
    </w:p>
    <w:p>
      <w:pPr>
        <w:keepNext/>
        <w:spacing w:before="80" w:after="20"/>
      </w:pPr>
      <w:r>
        <w:rPr>
          <w:b/>
          <w:color w:val="76556F"/>
          <w:sz w:val="18"/>
        </w:rPr>
        <w:t>Q. Is there live IoT integration?</w:t>
      </w:r>
    </w:p>
    <w:p>
      <w:pPr>
        <w:spacing w:after="60"/>
        <w:ind w:left="259"/>
      </w:pPr>
      <w:r>
        <w:t>A. No. The supplied application demonstrates file-based physiological-data import; it does not directly stream from a wearable or sensor.</w:t>
      </w:r>
    </w:p>
    <w:p>
      <w:pPr>
        <w:keepNext/>
        <w:spacing w:before="80" w:after="20"/>
      </w:pPr>
      <w:r>
        <w:rPr>
          <w:b/>
          <w:color w:val="76556F"/>
          <w:sz w:val="18"/>
        </w:rPr>
        <w:t>Q. What is the backend?</w:t>
      </w:r>
    </w:p>
    <w:p>
      <w:pPr>
        <w:spacing w:after="60"/>
        <w:ind w:left="259"/>
      </w:pPr>
      <w:r>
        <w:t>A. A Python standard-library HTTP server exposing JSON API routes. It uses SQLite for local persistence and returns data to the HTML/JavaScript frontend.</w:t>
      </w:r>
    </w:p>
    <w:p>
      <w:pPr>
        <w:keepNext/>
        <w:spacing w:before="80" w:after="20"/>
      </w:pPr>
      <w:r>
        <w:rPr>
          <w:b/>
          <w:color w:val="76556F"/>
          <w:sz w:val="18"/>
        </w:rPr>
        <w:t>Q. Why use SQLite?</w:t>
      </w:r>
    </w:p>
    <w:p>
      <w:pPr>
        <w:spacing w:after="60"/>
        <w:ind w:left="259"/>
      </w:pPr>
      <w:r>
        <w:t>A. It is lightweight, file-based and straightforward for a local prototype with relational tables and source references. It is not presented as a production multi-user data platform.</w:t>
      </w:r>
    </w:p>
    <w:p>
      <w:pPr>
        <w:keepNext/>
        <w:spacing w:before="80" w:after="20"/>
      </w:pPr>
      <w:r>
        <w:rPr>
          <w:b/>
          <w:color w:val="76556F"/>
          <w:sz w:val="18"/>
        </w:rPr>
        <w:t>Q. What are the next research steps?</w:t>
      </w:r>
    </w:p>
    <w:p>
      <w:pPr>
        <w:spacing w:after="60"/>
        <w:ind w:left="259"/>
      </w:pPr>
      <w:r>
        <w:t>A. Evaluate a model on a licensed real/public CGM dataset with documented provenance and patient-grouped splits; review the input threshold; add uncertainty/calibration analysis; harden access control; and test with a broader browser/device/accessibility matrix.</w:t>
      </w:r>
    </w:p>
    <w:p>
      <w:pPr>
        <w:pStyle w:val="Heading1"/>
        <w:keepNext/>
      </w:pPr>
      <w:r>
        <w:t>18. Glossary and key takeaways</w:t>
      </w:r>
    </w:p>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Term</w:t>
            </w:r>
          </w:p>
        </w:tc>
        <w:tc>
          <w:tcPr>
            <w:tcW w:type="dxa" w:w="7776"/>
            <w:vAlign w:val="center"/>
            <w:tcMar>
              <w:top w:w="90" w:type="dxa"/>
              <w:start w:w="100" w:type="dxa"/>
              <w:bottom w:w="90" w:type="dxa"/>
              <w:end w:w="100" w:type="dxa"/>
            </w:tcMar>
            <w:shd w:fill="594052"/>
          </w:tcPr>
          <w:p>
            <w:pPr>
              <w:spacing w:after="0" w:line="240" w:lineRule="auto"/>
            </w:pPr>
            <w:r/>
            <w:r>
              <w:rPr>
                <w:rFonts w:ascii="Aptos" w:hAnsi="Aptos" w:eastAsia="Aptos"/>
                <w:b/>
                <w:color w:val="FFFFFF"/>
                <w:sz w:val="16"/>
              </w:rPr>
              <w:t>Simple definition in NAARI</w:t>
            </w:r>
          </w:p>
        </w:tc>
      </w:tr>
      <w:tr>
        <w:trPr>
          <w:cantSplit/>
        </w:trPr>
        <w:tc>
          <w:tcPr>
            <w:tcW w:type="dxa" w:w="2376"/>
            <w:vAlign w:val="center"/>
            <w:tcMar>
              <w:top w:w="90" w:type="dxa"/>
              <w:start w:w="100" w:type="dxa"/>
              <w:bottom w:w="90" w:type="dxa"/>
              <w:end w:w="100" w:type="dxa"/>
            </w:tcMar>
          </w:tcPr>
          <w:p>
            <w:pPr>
              <w:spacing w:after="0" w:line="240" w:lineRule="auto"/>
            </w:pPr>
            <w:r/>
            <w:r>
              <w:rPr>
                <w:rFonts w:ascii="Aptos" w:hAnsi="Aptos" w:eastAsia="Aptos"/>
                <w:b w:val="0"/>
                <w:color w:val="302B31"/>
                <w:sz w:val="16"/>
              </w:rPr>
              <w:t>API</w:t>
            </w:r>
          </w:p>
        </w:tc>
        <w:tc>
          <w:tcPr>
            <w:tcW w:type="dxa" w:w="7776"/>
            <w:vAlign w:val="center"/>
            <w:tcMar>
              <w:top w:w="90" w:type="dxa"/>
              <w:start w:w="100" w:type="dxa"/>
              <w:bottom w:w="90" w:type="dxa"/>
              <w:end w:w="100" w:type="dxa"/>
            </w:tcMar>
          </w:tcPr>
          <w:p>
            <w:pPr>
              <w:spacing w:after="0" w:line="240" w:lineRule="auto"/>
            </w:pPr>
            <w:r/>
            <w:r>
              <w:rPr>
                <w:rFonts w:ascii="Aptos" w:hAnsi="Aptos" w:eastAsia="Aptos"/>
                <w:b w:val="0"/>
                <w:color w:val="302B31"/>
                <w:sz w:val="16"/>
              </w:rPr>
              <w:t>A defined way for the frontend to ask the backend for data or request an action.</w:t>
            </w:r>
          </w:p>
        </w:tc>
      </w:tr>
      <w:tr>
        <w:trPr>
          <w:cantSplit/>
        </w:trPr>
        <w:tc>
          <w:tcPr>
            <w:tcW w:type="dxa" w:w="23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CGM</w:t>
            </w:r>
          </w:p>
        </w:tc>
        <w:tc>
          <w:tcPr>
            <w:tcW w:type="dxa" w:w="77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Continuous glucose monitoring; in this prototype represented by imported time-series data.</w:t>
            </w:r>
          </w:p>
        </w:tc>
      </w:tr>
      <w:tr>
        <w:trPr>
          <w:cantSplit/>
        </w:trPr>
        <w:tc>
          <w:tcPr>
            <w:tcW w:type="dxa" w:w="2376"/>
            <w:vAlign w:val="center"/>
            <w:tcMar>
              <w:top w:w="90" w:type="dxa"/>
              <w:start w:w="100" w:type="dxa"/>
              <w:bottom w:w="90" w:type="dxa"/>
              <w:end w:w="100" w:type="dxa"/>
            </w:tcMar>
          </w:tcPr>
          <w:p>
            <w:pPr>
              <w:spacing w:after="0" w:line="240" w:lineRule="auto"/>
            </w:pPr>
            <w:r/>
            <w:r>
              <w:rPr>
                <w:rFonts w:ascii="Aptos" w:hAnsi="Aptos" w:eastAsia="Aptos"/>
                <w:b w:val="0"/>
                <w:color w:val="302B31"/>
                <w:sz w:val="16"/>
              </w:rPr>
              <w:t>Clinical measurement</w:t>
            </w:r>
          </w:p>
        </w:tc>
        <w:tc>
          <w:tcPr>
            <w:tcW w:type="dxa" w:w="7776"/>
            <w:vAlign w:val="center"/>
            <w:tcMar>
              <w:top w:w="90" w:type="dxa"/>
              <w:start w:w="100" w:type="dxa"/>
              <w:bottom w:w="90" w:type="dxa"/>
              <w:end w:w="100" w:type="dxa"/>
            </w:tcMar>
          </w:tcPr>
          <w:p>
            <w:pPr>
              <w:spacing w:after="0" w:line="240" w:lineRule="auto"/>
            </w:pPr>
            <w:r/>
            <w:r>
              <w:rPr>
                <w:rFonts w:ascii="Aptos" w:hAnsi="Aptos" w:eastAsia="Aptos"/>
                <w:b w:val="0"/>
                <w:color w:val="302B31"/>
                <w:sz w:val="16"/>
              </w:rPr>
              <w:t>A dated value such as HbA1c, testosterone, glucose, cholesterol or blood pressure, stored with unit/source and verification status.</w:t>
            </w:r>
          </w:p>
        </w:tc>
      </w:tr>
      <w:tr>
        <w:trPr>
          <w:cantSplit/>
        </w:trPr>
        <w:tc>
          <w:tcPr>
            <w:tcW w:type="dxa" w:w="23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Digital Twin snapshot</w:t>
            </w:r>
          </w:p>
        </w:tc>
        <w:tc>
          <w:tcPr>
            <w:tcW w:type="dxa" w:w="77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A saved version of the defined patient state at a particular time.</w:t>
            </w:r>
          </w:p>
        </w:tc>
      </w:tr>
      <w:tr>
        <w:trPr>
          <w:cantSplit/>
        </w:trPr>
        <w:tc>
          <w:tcPr>
            <w:tcW w:type="dxa" w:w="2376"/>
            <w:vAlign w:val="center"/>
            <w:tcMar>
              <w:top w:w="90" w:type="dxa"/>
              <w:start w:w="100" w:type="dxa"/>
              <w:bottom w:w="90" w:type="dxa"/>
              <w:end w:w="100" w:type="dxa"/>
            </w:tcMar>
          </w:tcPr>
          <w:p>
            <w:pPr>
              <w:spacing w:after="0" w:line="240" w:lineRule="auto"/>
            </w:pPr>
            <w:r/>
            <w:r>
              <w:rPr>
                <w:rFonts w:ascii="Aptos" w:hAnsi="Aptos" w:eastAsia="Aptos"/>
                <w:b w:val="0"/>
                <w:color w:val="302B31"/>
                <w:sz w:val="16"/>
              </w:rPr>
              <w:t>Diff / change list</w:t>
            </w:r>
          </w:p>
        </w:tc>
        <w:tc>
          <w:tcPr>
            <w:tcW w:type="dxa" w:w="7776"/>
            <w:vAlign w:val="center"/>
            <w:tcMar>
              <w:top w:w="90" w:type="dxa"/>
              <w:start w:w="100" w:type="dxa"/>
              <w:bottom w:w="90" w:type="dxa"/>
              <w:end w:w="100" w:type="dxa"/>
            </w:tcMar>
          </w:tcPr>
          <w:p>
            <w:pPr>
              <w:spacing w:after="0" w:line="240" w:lineRule="auto"/>
            </w:pPr>
            <w:r/>
            <w:r>
              <w:rPr>
                <w:rFonts w:ascii="Aptos" w:hAnsi="Aptos" w:eastAsia="Aptos"/>
                <w:b w:val="0"/>
                <w:color w:val="302B31"/>
                <w:sz w:val="16"/>
              </w:rPr>
              <w:t>A comparison showing which saved feature values changed between versions.</w:t>
            </w:r>
          </w:p>
        </w:tc>
      </w:tr>
      <w:tr>
        <w:trPr>
          <w:cantSplit/>
        </w:trPr>
        <w:tc>
          <w:tcPr>
            <w:tcW w:type="dxa" w:w="23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Provenance</w:t>
            </w:r>
          </w:p>
        </w:tc>
        <w:tc>
          <w:tcPr>
            <w:tcW w:type="dxa" w:w="77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Where a value came from: for example, a report/page, manual entry or imported batch.</w:t>
            </w:r>
          </w:p>
        </w:tc>
      </w:tr>
      <w:tr>
        <w:trPr>
          <w:cantSplit/>
        </w:trPr>
        <w:tc>
          <w:tcPr>
            <w:tcW w:type="dxa" w:w="2376"/>
            <w:vAlign w:val="center"/>
            <w:tcMar>
              <w:top w:w="90" w:type="dxa"/>
              <w:start w:w="100" w:type="dxa"/>
              <w:bottom w:w="90" w:type="dxa"/>
              <w:end w:w="100" w:type="dxa"/>
            </w:tcMar>
          </w:tcPr>
          <w:p>
            <w:pPr>
              <w:spacing w:after="0" w:line="240" w:lineRule="auto"/>
            </w:pPr>
            <w:r/>
            <w:r>
              <w:rPr>
                <w:rFonts w:ascii="Aptos" w:hAnsi="Aptos" w:eastAsia="Aptos"/>
                <w:b w:val="0"/>
                <w:color w:val="302B31"/>
                <w:sz w:val="16"/>
              </w:rPr>
              <w:t>OCR</w:t>
            </w:r>
          </w:p>
        </w:tc>
        <w:tc>
          <w:tcPr>
            <w:tcW w:type="dxa" w:w="7776"/>
            <w:vAlign w:val="center"/>
            <w:tcMar>
              <w:top w:w="90" w:type="dxa"/>
              <w:start w:w="100" w:type="dxa"/>
              <w:bottom w:w="90" w:type="dxa"/>
              <w:end w:w="100" w:type="dxa"/>
            </w:tcMar>
          </w:tcPr>
          <w:p>
            <w:pPr>
              <w:spacing w:after="0" w:line="240" w:lineRule="auto"/>
            </w:pPr>
            <w:r/>
            <w:r>
              <w:rPr>
                <w:rFonts w:ascii="Aptos" w:hAnsi="Aptos" w:eastAsia="Aptos"/>
                <w:b w:val="0"/>
                <w:color w:val="302B31"/>
                <w:sz w:val="16"/>
              </w:rPr>
              <w:t>Optical character recognition; software that turns text inside a scanned image into machine-readable text.</w:t>
            </w:r>
          </w:p>
        </w:tc>
      </w:tr>
      <w:tr>
        <w:trPr>
          <w:cantSplit/>
        </w:trPr>
        <w:tc>
          <w:tcPr>
            <w:tcW w:type="dxa" w:w="23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Pending field</w:t>
            </w:r>
          </w:p>
        </w:tc>
        <w:tc>
          <w:tcPr>
            <w:tcW w:type="dxa" w:w="77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A candidate extracted from a report that has not yet been approved.</w:t>
            </w:r>
          </w:p>
        </w:tc>
      </w:tr>
      <w:tr>
        <w:trPr>
          <w:cantSplit/>
        </w:trPr>
        <w:tc>
          <w:tcPr>
            <w:tcW w:type="dxa" w:w="2376"/>
            <w:vAlign w:val="center"/>
            <w:tcMar>
              <w:top w:w="90" w:type="dxa"/>
              <w:start w:w="100" w:type="dxa"/>
              <w:bottom w:w="90" w:type="dxa"/>
              <w:end w:w="100" w:type="dxa"/>
            </w:tcMar>
          </w:tcPr>
          <w:p>
            <w:pPr>
              <w:spacing w:after="0" w:line="240" w:lineRule="auto"/>
            </w:pPr>
            <w:r/>
            <w:r>
              <w:rPr>
                <w:rFonts w:ascii="Aptos" w:hAnsi="Aptos" w:eastAsia="Aptos"/>
                <w:b w:val="0"/>
                <w:color w:val="302B31"/>
                <w:sz w:val="16"/>
              </w:rPr>
              <w:t>Verified measurement</w:t>
            </w:r>
          </w:p>
        </w:tc>
        <w:tc>
          <w:tcPr>
            <w:tcW w:type="dxa" w:w="7776"/>
            <w:vAlign w:val="center"/>
            <w:tcMar>
              <w:top w:w="90" w:type="dxa"/>
              <w:start w:w="100" w:type="dxa"/>
              <w:bottom w:w="90" w:type="dxa"/>
              <w:end w:w="100" w:type="dxa"/>
            </w:tcMar>
          </w:tcPr>
          <w:p>
            <w:pPr>
              <w:spacing w:after="0" w:line="240" w:lineRule="auto"/>
            </w:pPr>
            <w:r/>
            <w:r>
              <w:rPr>
                <w:rFonts w:ascii="Aptos" w:hAnsi="Aptos" w:eastAsia="Aptos"/>
                <w:b w:val="0"/>
                <w:color w:val="302B31"/>
                <w:sz w:val="16"/>
              </w:rPr>
              <w:t>A clinical measurement that passed the app’s approval checks and was saved as verified.</w:t>
            </w:r>
          </w:p>
        </w:tc>
      </w:tr>
      <w:tr>
        <w:trPr>
          <w:cantSplit/>
        </w:trPr>
        <w:tc>
          <w:tcPr>
            <w:tcW w:type="dxa" w:w="23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Time series</w:t>
            </w:r>
          </w:p>
        </w:tc>
        <w:tc>
          <w:tcPr>
            <w:tcW w:type="dxa" w:w="77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Many timestamped data points, such as glucose readings every five minutes.</w:t>
            </w:r>
          </w:p>
        </w:tc>
      </w:tr>
      <w:tr>
        <w:trPr>
          <w:cantSplit/>
        </w:trPr>
        <w:tc>
          <w:tcPr>
            <w:tcW w:type="dxa" w:w="2376"/>
            <w:vAlign w:val="center"/>
            <w:tcMar>
              <w:top w:w="90" w:type="dxa"/>
              <w:start w:w="100" w:type="dxa"/>
              <w:bottom w:w="90" w:type="dxa"/>
              <w:end w:w="100" w:type="dxa"/>
            </w:tcMar>
          </w:tcPr>
          <w:p>
            <w:pPr>
              <w:spacing w:after="0" w:line="240" w:lineRule="auto"/>
            </w:pPr>
            <w:r/>
            <w:r>
              <w:rPr>
                <w:rFonts w:ascii="Aptos" w:hAnsi="Aptos" w:eastAsia="Aptos"/>
                <w:b w:val="0"/>
                <w:color w:val="302B31"/>
                <w:sz w:val="16"/>
              </w:rPr>
              <w:t>Twin scope</w:t>
            </w:r>
          </w:p>
        </w:tc>
        <w:tc>
          <w:tcPr>
            <w:tcW w:type="dxa" w:w="7776"/>
            <w:vAlign w:val="center"/>
            <w:tcMar>
              <w:top w:w="90" w:type="dxa"/>
              <w:start w:w="100" w:type="dxa"/>
              <w:bottom w:w="90" w:type="dxa"/>
              <w:end w:w="100" w:type="dxa"/>
            </w:tcMar>
          </w:tcPr>
          <w:p>
            <w:pPr>
              <w:spacing w:after="0" w:line="240" w:lineRule="auto"/>
            </w:pPr>
            <w:r/>
            <w:r>
              <w:rPr>
                <w:rFonts w:ascii="Aptos" w:hAnsi="Aptos" w:eastAsia="Aptos"/>
                <w:b w:val="0"/>
                <w:color w:val="302B31"/>
                <w:sz w:val="16"/>
              </w:rPr>
              <w:t>The exact categories of data included in the saved Twin computation; in this version it excludes cycles, symptoms, HR and steps.</w:t>
            </w:r>
          </w:p>
        </w:tc>
      </w:tr>
      <w:tr>
        <w:trPr>
          <w:cantSplit/>
        </w:trPr>
        <w:tc>
          <w:tcPr>
            <w:tcW w:type="dxa" w:w="23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AUROC / AUPRC</w:t>
            </w:r>
          </w:p>
        </w:tc>
        <w:tc>
          <w:tcPr>
            <w:tcW w:type="dxa" w:w="7776"/>
            <w:vAlign w:val="center"/>
            <w:tcMar>
              <w:top w:w="90" w:type="dxa"/>
              <w:start w:w="100" w:type="dxa"/>
              <w:bottom w:w="90" w:type="dxa"/>
              <w:end w:w="100" w:type="dxa"/>
            </w:tcMar>
            <w:shd w:fill="FBF9FA"/>
          </w:tcPr>
          <w:p>
            <w:pPr>
              <w:spacing w:after="0" w:line="240" w:lineRule="auto"/>
            </w:pPr>
            <w:r/>
            <w:r>
              <w:rPr>
                <w:rFonts w:ascii="Aptos" w:hAnsi="Aptos" w:eastAsia="Aptos"/>
                <w:b w:val="0"/>
                <w:color w:val="302B31"/>
                <w:sz w:val="16"/>
              </w:rPr>
              <w:t>Summary metrics of classification ranking/performance. Here the metrics use synthetic held-out data and do not prove clinical value.</w:t>
            </w:r>
          </w:p>
        </w:tc>
      </w:tr>
      <w:tr>
        <w:trPr>
          <w:cantSplit/>
        </w:trPr>
        <w:tc>
          <w:tcPr>
            <w:tcW w:type="dxa" w:w="2376"/>
            <w:vAlign w:val="center"/>
            <w:tcMar>
              <w:top w:w="90" w:type="dxa"/>
              <w:start w:w="100" w:type="dxa"/>
              <w:bottom w:w="90" w:type="dxa"/>
              <w:end w:w="100" w:type="dxa"/>
            </w:tcMar>
          </w:tcPr>
          <w:p>
            <w:pPr>
              <w:spacing w:after="0" w:line="240" w:lineRule="auto"/>
            </w:pPr>
            <w:r/>
            <w:r>
              <w:rPr>
                <w:rFonts w:ascii="Aptos" w:hAnsi="Aptos" w:eastAsia="Aptos"/>
                <w:b w:val="0"/>
                <w:color w:val="302B31"/>
                <w:sz w:val="16"/>
              </w:rPr>
              <w:t>Calibration</w:t>
            </w:r>
          </w:p>
        </w:tc>
        <w:tc>
          <w:tcPr>
            <w:tcW w:type="dxa" w:w="7776"/>
            <w:vAlign w:val="center"/>
            <w:tcMar>
              <w:top w:w="90" w:type="dxa"/>
              <w:start w:w="100" w:type="dxa"/>
              <w:bottom w:w="90" w:type="dxa"/>
              <w:end w:w="100" w:type="dxa"/>
            </w:tcMar>
          </w:tcPr>
          <w:p>
            <w:pPr>
              <w:spacing w:after="0" w:line="240" w:lineRule="auto"/>
            </w:pPr>
            <w:r/>
            <w:r>
              <w:rPr>
                <w:rFonts w:ascii="Aptos" w:hAnsi="Aptos" w:eastAsia="Aptos"/>
                <w:b w:val="0"/>
                <w:color w:val="302B31"/>
                <w:sz w:val="16"/>
              </w:rPr>
              <w:t>Whether predicted probabilities match real-world event frequencies. The current model is explicitly described as uncalibrated.</w:t>
            </w:r>
          </w:p>
        </w:tc>
      </w:tr>
    </w:tbl>
    <w:p>
      <w:pPr>
        <w:spacing w:after="0"/>
      </w:pPr>
    </w:p>
    <w:p>
      <w:r>
        <w:br w:type="page"/>
      </w:r>
    </w:p>
    <w:p>
      <w:pPr>
        <w:pStyle w:val="Heading2"/>
        <w:keepNext/>
      </w:pPr>
      <w:r>
        <w:t>The five points to remember</w:t>
      </w:r>
    </w:p>
    <w:p>
      <w:pPr>
        <w:pStyle w:val="ListBullet"/>
        <w:spacing w:after="40"/>
      </w:pPr>
      <w:r>
        <w:t>NAARI is a workflow and explainability prototype, not just a dashboard and not a medical diagnosis engine.</w:t>
      </w:r>
    </w:p>
    <w:p>
      <w:pPr>
        <w:pStyle w:val="ListBullet"/>
        <w:spacing w:after="40"/>
      </w:pPr>
      <w:r>
        <w:t>Extracted values stay pending until review; provenance and verification are central to the design.</w:t>
      </w:r>
    </w:p>
    <w:p>
      <w:pPr>
        <w:pStyle w:val="ListBullet"/>
        <w:spacing w:after="40"/>
      </w:pPr>
      <w:r>
        <w:t>The saved Twin has a narrow definition: verified clinical measurements plus a 14-day glucose summary. Cycles and symptoms are separate.</w:t>
      </w:r>
    </w:p>
    <w:p>
      <w:pPr>
        <w:pStyle w:val="ListBullet"/>
        <w:spacing w:after="40"/>
      </w:pPr>
      <w:r>
        <w:t>The model predicts one defined glucose-threshold event, and its high scores come from a fully synthetic dataset—not clinical validation.</w:t>
      </w:r>
    </w:p>
    <w:p>
      <w:pPr>
        <w:pStyle w:val="ListBullet"/>
        <w:spacing w:after="40"/>
      </w:pPr>
      <w:r>
        <w:t>The standalone HTML preview is read-only; real data-changing actions require the local full application and backend.</w:t>
      </w:r>
    </w:p>
    <w:tbl>
      <w:tblPr>
        <w:tblW w:type="auto" w:w="0"/>
        <w:jc w:val="center"/>
        <w:tblLayout w:type="fixed"/>
        <w:tblLook w:firstColumn="1" w:firstRow="1" w:lastColumn="0" w:lastRow="0" w:noHBand="0" w:noVBand="1" w:val="04A0"/>
      </w:tblPr>
      <w:tblGrid>
        <w:gridCol w:w="10166"/>
      </w:tblGrid>
      <w:tr>
        <w:trPr>
          <w:cantSplit/>
        </w:trPr>
        <w:tc>
          <w:tcPr>
            <w:tcW w:type="dxa" w:w="10166"/>
            <w:shd w:fill="E9E2F0"/>
            <w:tcMar>
              <w:top w:w="140" w:type="dxa"/>
              <w:start w:w="180" w:type="dxa"/>
              <w:bottom w:w="140" w:type="dxa"/>
              <w:end w:w="180" w:type="dxa"/>
            </w:tcMar>
          </w:tcPr>
          <w:p>
            <w:pPr>
              <w:spacing w:after="60"/>
            </w:pPr>
            <w:r/>
            <w:r>
              <w:rPr>
                <w:b/>
                <w:color w:val="594052"/>
                <w:sz w:val="20"/>
              </w:rPr>
              <w:t>Final one-liner for a presentation</w:t>
            </w:r>
          </w:p>
          <w:p>
            <w:pPr>
              <w:spacing w:after="0" w:line="252" w:lineRule="auto"/>
            </w:pPr>
            <w:r>
              <w:rPr>
                <w:color w:val="302B31"/>
                <w:sz w:val="18"/>
              </w:rPr>
              <w:t>“NAARI demonstrates how a clinician-oriented prototype can turn fragmented records into traceable, versioned summaries and an evidence-aware report, while clearly separating missing data, pending review, experimental predictions and real clinical validation.”</w:t>
            </w:r>
          </w:p>
        </w:tc>
      </w:tr>
    </w:tbl>
    <w:p>
      <w:pPr>
        <w:spacing w:after="0"/>
      </w:pPr>
    </w:p>
    <w:p>
      <w:r>
        <w:br w:type="page"/>
      </w:r>
    </w:p>
    <w:p>
      <w:pPr>
        <w:pStyle w:val="Heading1"/>
      </w:pPr>
      <w:r>
        <w:t>Appendix A. Menstrual-cycle estimate versus ML</w:t>
      </w:r>
    </w:p>
    <w:p>
      <w:r>
        <w:rPr>
          <w:b/>
        </w:rPr>
        <w:t xml:space="preserve">This capability already exists in the current app. </w:t>
      </w:r>
      <w:r>
        <w:t>On the Records → Menstrual cycle page, the backend calculates intervals between consecutive recorded period starts. After at least three historical intervals are available, it adds the median interval to the latest recorded start and marks the result as an estimate. It does not invent missing periods.</w:t>
      </w:r>
    </w:p>
    <w:p>
      <w:pPr>
        <w:pStyle w:val="Heading2"/>
      </w:pPr>
      <w:r>
        <w:t>What kind of prediction is it?</w:t>
      </w:r>
    </w:p>
    <w:p>
      <w:r>
        <w:t>It is a statistical baseline, not a trained machine-learning model. For example, if a fictional patient’s latest recorded period started on 24 February 2026 and the median of the recorded intervals is 42 days, the baseline date is 7 April 2026. The date is a calculation from past records, not an observed period start and not a guarantee.</w:t>
      </w:r>
    </w:p>
    <w:p>
      <w:pPr>
        <w:pStyle w:val="Heading2"/>
      </w:pPr>
      <w:r>
        <w:t>Why the date may be historical</w:t>
      </w:r>
    </w:p>
    <w:p>
      <w:r>
        <w:t>The seeded demo history is fixed and its most recent recorded period start is 24 February 2026. Relative to today, the calculated 7 April 2026 date is already in the past. The UI therefore labels it a historical baseline estimate and asks for newer period records before treating it as a current forecast. In a real workflow, predictions should be tied to a clearly stated “as-of” date and evaluated against later recorded starts.</w:t>
      </w:r>
    </w:p>
    <w:p>
      <w:pPr>
        <w:pStyle w:val="Heading2"/>
      </w:pPr>
      <w:r>
        <w:t>How a proper evaluation would work</w:t>
      </w:r>
    </w:p>
    <w:p>
      <w:pPr>
        <w:pStyle w:val="ListBullet"/>
      </w:pPr>
      <w:r>
        <w:t>For each participant, sort period starts by date and derive cycle intervals only between consecutive observed starts.</w:t>
      </w:r>
    </w:p>
    <w:p>
      <w:pPr>
        <w:pStyle w:val="ListBullet"/>
      </w:pPr>
      <w:r>
        <w:t>Predict a future interval using only cycles recorded before the target interval; never use future cycles in the inputs.</w:t>
      </w:r>
    </w:p>
    <w:p>
      <w:pPr>
        <w:pStyle w:val="ListBullet"/>
      </w:pPr>
      <w:r>
        <w:t>Compare the median baseline with any candidate ML model using participant-grouped and time-ordered evaluation, with metrics such as absolute error in days.</w:t>
      </w:r>
    </w:p>
    <w:p>
      <w:pPr>
        <w:pStyle w:val="ListBullet"/>
      </w:pPr>
      <w:r>
        <w:t>Report the number of participants, number of usable cycles, missingness, coverage and error. A small dataset supports a prototype study, not a clinical claim.</w:t>
      </w:r>
    </w:p>
    <w:p>
      <w:r>
        <w:t>This cycle estimate is separate from the current glucose-excursion ML model. Menstrual cycles and symptoms are displayed and analysed separately; they are not inputs to the saved computational Twin or the shipped glucose model.</w:t>
      </w:r>
    </w:p>
    <w:p>
      <w:r>
        <w:br w:type="page"/>
      </w:r>
    </w:p>
    <w:p>
      <w:pPr>
        <w:pStyle w:val="Heading1"/>
      </w:pPr>
      <w:r>
        <w:t>Appendix B. Real-world datasets: access, fit, and responsible use</w:t>
      </w:r>
    </w:p>
    <w:p>
      <w:r>
        <w:rPr>
          <w:b/>
        </w:rPr>
        <w:t xml:space="preserve">Yes, real, de-identified research datasets can be used when their licences and access agreements permit it. </w:t>
      </w:r>
      <w:r>
        <w:t>They are not automatically interchangeable: a dataset may have the wrong target, lack longitudinal observations, omit required model inputs, have restricted access, or not include people with PCOS.</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vAlign w:val="center"/>
          </w:tcPr>
          <w:p>
            <w:r>
              <w:rPr>
                <w:b/>
                <w:sz w:val="17"/>
              </w:rPr>
              <w:t>Candidate</w:t>
            </w:r>
          </w:p>
        </w:tc>
        <w:tc>
          <w:tcPr>
            <w:tcW w:type="dxa" w:w="2541"/>
            <w:vAlign w:val="center"/>
          </w:tcPr>
          <w:p>
            <w:r>
              <w:rPr>
                <w:b/>
                <w:sz w:val="17"/>
              </w:rPr>
              <w:t>What it contains</w:t>
            </w:r>
          </w:p>
        </w:tc>
        <w:tc>
          <w:tcPr>
            <w:tcW w:type="dxa" w:w="2541"/>
            <w:vAlign w:val="center"/>
          </w:tcPr>
          <w:p>
            <w:r>
              <w:rPr>
                <w:b/>
                <w:sz w:val="17"/>
              </w:rPr>
              <w:t>Best fit for NAARI</w:t>
            </w:r>
          </w:p>
        </w:tc>
        <w:tc>
          <w:tcPr>
            <w:tcW w:type="dxa" w:w="2541"/>
            <w:vAlign w:val="center"/>
          </w:tcPr>
          <w:p>
            <w:r>
              <w:rPr>
                <w:b/>
                <w:sz w:val="17"/>
              </w:rPr>
              <w:t>Important limitations</w:t>
            </w:r>
          </w:p>
        </w:tc>
      </w:tr>
      <w:tr>
        <w:tc>
          <w:tcPr>
            <w:tcW w:type="dxa" w:w="2541"/>
            <w:vAlign w:val="top"/>
          </w:tcPr>
          <w:p>
            <w:pPr>
              <w:spacing w:after="40"/>
            </w:pPr>
            <w:r>
              <w:rPr>
                <w:sz w:val="16"/>
              </w:rPr>
              <w:t>mcPHASES (PhysioNet)</w:t>
            </w:r>
          </w:p>
        </w:tc>
        <w:tc>
          <w:tcPr>
            <w:tcW w:type="dxa" w:w="2541"/>
            <w:vAlign w:val="top"/>
          </w:tcPr>
          <w:p>
            <w:pPr>
              <w:spacing w:after="40"/>
            </w:pPr>
            <w:r>
              <w:rPr>
                <w:sz w:val="16"/>
              </w:rPr>
              <w:t>Longitudinal menstrual diary, hormone readings, wearable physiology, CGM and symptoms; 42 participants in the released cohort, with repeat observation for some.</w:t>
            </w:r>
          </w:p>
        </w:tc>
        <w:tc>
          <w:tcPr>
            <w:tcW w:type="dxa" w:w="2541"/>
            <w:vAlign w:val="top"/>
          </w:tcPr>
          <w:p>
            <w:pPr>
              <w:spacing w:after="40"/>
            </w:pPr>
            <w:r>
              <w:rPr>
                <w:sz w:val="16"/>
              </w:rPr>
              <w:t>A research experiment on cycle timing/menstrual-health patterns and links with physiological signals.</w:t>
            </w:r>
          </w:p>
        </w:tc>
        <w:tc>
          <w:tcPr>
            <w:tcW w:type="dxa" w:w="2541"/>
            <w:vAlign w:val="top"/>
          </w:tcPr>
          <w:p>
            <w:pPr>
              <w:spacing w:after="40"/>
            </w:pPr>
            <w:r>
              <w:rPr>
                <w:sz w:val="16"/>
              </w:rPr>
              <w:t>Restricted access / data-use conditions; small cohort; not a PCOS-specific cohort; released dates use relative study-day values.</w:t>
            </w:r>
          </w:p>
        </w:tc>
      </w:tr>
      <w:tr>
        <w:tc>
          <w:tcPr>
            <w:tcW w:type="dxa" w:w="2541"/>
            <w:vAlign w:val="top"/>
          </w:tcPr>
          <w:p>
            <w:pPr>
              <w:spacing w:after="40"/>
            </w:pPr>
            <w:r>
              <w:rPr>
                <w:sz w:val="16"/>
              </w:rPr>
              <w:t>BIG IDEAs Lab Glycemic Variability and Wearable Device Data (PhysioNet)</w:t>
            </w:r>
          </w:p>
        </w:tc>
        <w:tc>
          <w:tcPr>
            <w:tcW w:type="dxa" w:w="2541"/>
            <w:vAlign w:val="top"/>
          </w:tcPr>
          <w:p>
            <w:pPr>
              <w:spacing w:after="40"/>
            </w:pPr>
            <w:r>
              <w:rPr>
                <w:sz w:val="16"/>
              </w:rPr>
              <w:t>Real CGM and wearable signals from 16 participants monitored for 8–10 days.</w:t>
            </w:r>
          </w:p>
        </w:tc>
        <w:tc>
          <w:tcPr>
            <w:tcW w:type="dxa" w:w="2541"/>
            <w:vAlign w:val="top"/>
          </w:tcPr>
          <w:p>
            <w:pPr>
              <w:spacing w:after="40"/>
            </w:pPr>
            <w:r>
              <w:rPr>
                <w:sz w:val="16"/>
              </w:rPr>
              <w:t>Data-ingestion study and a separate external glucose-model experiment if features can be mapped responsibly.</w:t>
            </w:r>
          </w:p>
        </w:tc>
        <w:tc>
          <w:tcPr>
            <w:tcW w:type="dxa" w:w="2541"/>
            <w:vAlign w:val="top"/>
          </w:tcPr>
          <w:p>
            <w:pPr>
              <w:spacing w:after="40"/>
            </w:pPr>
            <w:r>
              <w:rPr>
                <w:sz w:val="16"/>
              </w:rPr>
              <w:t>Small, not PCOS-specific, large download; may not contain the exact HbA1c/steps features used by the current model.</w:t>
            </w:r>
          </w:p>
        </w:tc>
      </w:tr>
      <w:tr>
        <w:tc>
          <w:tcPr>
            <w:tcW w:type="dxa" w:w="2541"/>
            <w:vAlign w:val="top"/>
          </w:tcPr>
          <w:p>
            <w:pPr>
              <w:spacing w:after="40"/>
            </w:pPr>
            <w:r>
              <w:rPr>
                <w:sz w:val="16"/>
              </w:rPr>
              <w:t>PCOS clinical dataset (Kaggle)</w:t>
            </w:r>
          </w:p>
        </w:tc>
        <w:tc>
          <w:tcPr>
            <w:tcW w:type="dxa" w:w="2541"/>
            <w:vAlign w:val="top"/>
          </w:tcPr>
          <w:p>
            <w:pPr>
              <w:spacing w:after="40"/>
            </w:pPr>
            <w:r>
              <w:rPr>
                <w:sz w:val="16"/>
              </w:rPr>
              <w:t>Around 541 clinical records described in published analyses, including clinical, laboratory, menstrual-history and ultrasound fields.</w:t>
            </w:r>
          </w:p>
        </w:tc>
        <w:tc>
          <w:tcPr>
            <w:tcW w:type="dxa" w:w="2541"/>
            <w:vAlign w:val="top"/>
          </w:tcPr>
          <w:p>
            <w:pPr>
              <w:spacing w:after="40"/>
            </w:pPr>
            <w:r>
              <w:rPr>
                <w:sz w:val="16"/>
              </w:rPr>
              <w:t>Exploratory retrospective analysis of static PCOS-related features after source/label review.</w:t>
            </w:r>
          </w:p>
        </w:tc>
        <w:tc>
          <w:tcPr>
            <w:tcW w:type="dxa" w:w="2541"/>
            <w:vAlign w:val="top"/>
          </w:tcPr>
          <w:p>
            <w:pPr>
              <w:spacing w:after="40"/>
            </w:pPr>
            <w:r>
              <w:rPr>
                <w:sz w:val="16"/>
              </w:rPr>
              <w:t>Not a timestamped longitudinal series for next-cycle or two-hour event forecasting; diagnostic-label provenance needs scrutiny; review its current license.</w:t>
            </w:r>
          </w:p>
        </w:tc>
      </w:tr>
      <w:tr>
        <w:tc>
          <w:tcPr>
            <w:tcW w:type="dxa" w:w="2541"/>
            <w:vAlign w:val="top"/>
          </w:tcPr>
          <w:p>
            <w:pPr>
              <w:spacing w:after="40"/>
            </w:pPr>
            <w:r>
              <w:rPr>
                <w:sz w:val="16"/>
              </w:rPr>
              <w:t>Natural Cycles cycle dataset described in a large study</w:t>
            </w:r>
          </w:p>
        </w:tc>
        <w:tc>
          <w:tcPr>
            <w:tcW w:type="dxa" w:w="2541"/>
            <w:vAlign w:val="top"/>
          </w:tcPr>
          <w:p>
            <w:pPr>
              <w:spacing w:after="40"/>
            </w:pPr>
            <w:r>
              <w:rPr>
                <w:sz w:val="16"/>
              </w:rPr>
              <w:t>A published analysis of more than 600,000 menstrual cycles.</w:t>
            </w:r>
          </w:p>
        </w:tc>
        <w:tc>
          <w:tcPr>
            <w:tcW w:type="dxa" w:w="2541"/>
            <w:vAlign w:val="top"/>
          </w:tcPr>
          <w:p>
            <w:pPr>
              <w:spacing w:after="40"/>
            </w:pPr>
            <w:r>
              <w:rPr>
                <w:sz w:val="16"/>
              </w:rPr>
              <w:t>Evidence that large-scale cycle data may exist.</w:t>
            </w:r>
          </w:p>
        </w:tc>
        <w:tc>
          <w:tcPr>
            <w:tcW w:type="dxa" w:w="2541"/>
            <w:vAlign w:val="top"/>
          </w:tcPr>
          <w:p>
            <w:pPr>
              <w:spacing w:after="40"/>
            </w:pPr>
            <w:r>
              <w:rPr>
                <w:sz w:val="16"/>
              </w:rPr>
              <w:t>The underlying records are not publicly downloadable under the paper’s data statement; reuse requires permission.</w:t>
            </w:r>
          </w:p>
        </w:tc>
      </w:tr>
    </w:tbl>
    <w:p>
      <w:pPr>
        <w:pStyle w:val="Heading2"/>
      </w:pPr>
      <w:r>
        <w:t>Recommended data strategy</w:t>
      </w:r>
    </w:p>
    <w:p>
      <w:pPr>
        <w:pStyle w:val="ListBullet"/>
      </w:pPr>
      <w:r>
        <w:t>Keep the seeded NAARI demonstration synthetic and reproducible. Do not insert outside research participants into fictional demo profiles.</w:t>
      </w:r>
    </w:p>
    <w:p>
      <w:pPr>
        <w:pStyle w:val="ListBullet"/>
      </w:pPr>
      <w:r>
        <w:t>Investigate mcPHASES access for cycle-method evaluation, but read and comply with the current PhysioNet Data Use Agreement. It can inform menstrual-health methods; it cannot be represented as PCOS-specific validation.</w:t>
      </w:r>
    </w:p>
    <w:p>
      <w:pPr>
        <w:pStyle w:val="ListBullet"/>
      </w:pPr>
      <w:r>
        <w:t>Investigate BIG IDEAs only as a separate glucose-model/data-pipeline experiment. Adapt and document the inputs; do not pass unmatched columns to the current 12-feature model.</w:t>
      </w:r>
    </w:p>
    <w:p>
      <w:pPr>
        <w:pStyle w:val="ListBullet"/>
      </w:pPr>
      <w:r>
        <w:t>Use participant-grouped splits and chronological evaluation to avoid leakage between the same participant’s records.</w:t>
      </w:r>
    </w:p>
    <w:p>
      <w:pPr>
        <w:pStyle w:val="ListBullet"/>
      </w:pPr>
      <w:r>
        <w:t>Record dataset name/version, citation, retrieval date, licence/DUA, checksum, fields used, exclusions, preprocessing and evaluation split.</w:t>
      </w:r>
    </w:p>
    <w:p>
      <w:pPr>
        <w:pStyle w:val="ListBullet"/>
      </w:pPr>
      <w:r>
        <w:t>Never include direct identifiers in the app. Obtain any required institutional ethics approval and consent before collecting new patient data; public availability does not remove all privacy or use obligations.</w:t>
      </w:r>
    </w:p>
    <w:p>
      <w:pPr>
        <w:pStyle w:val="Heading2"/>
      </w:pPr>
      <w:r>
        <w:t>Source pages to review</w:t>
      </w:r>
    </w:p>
    <w:p>
      <w:pPr>
        <w:pStyle w:val="ListBullet"/>
      </w:pPr>
      <w:r>
        <w:rPr>
          <w:b/>
        </w:rPr>
        <w:t xml:space="preserve">mcPHASES data page: </w:t>
      </w:r>
      <w:r>
        <w:t>https://physionet.org/content/mcphases/1.0.0/</w:t>
      </w:r>
    </w:p>
    <w:p>
      <w:pPr>
        <w:pStyle w:val="ListBullet"/>
      </w:pPr>
      <w:r>
        <w:rPr>
          <w:b/>
        </w:rPr>
        <w:t xml:space="preserve">mcPHASES data paper (Scientific Data, 2026): </w:t>
      </w:r>
      <w:r>
        <w:t>https://www.nature.com/articles/s41597-026-06805-3</w:t>
      </w:r>
    </w:p>
    <w:p>
      <w:pPr>
        <w:pStyle w:val="ListBullet"/>
      </w:pPr>
      <w:r>
        <w:rPr>
          <w:b/>
        </w:rPr>
        <w:t xml:space="preserve">BIG IDEAs Lab glucose + wearable dataset (check current release/licence): </w:t>
      </w:r>
      <w:r>
        <w:t>https://physionet.org/content/big-ideas-glycemic-wearable/</w:t>
      </w:r>
    </w:p>
    <w:p>
      <w:pPr>
        <w:pStyle w:val="ListBullet"/>
      </w:pPr>
      <w:r>
        <w:rPr>
          <w:b/>
        </w:rPr>
        <w:t xml:space="preserve">PCOS dataset on Kaggle (check licence and provenance before use): </w:t>
      </w:r>
      <w:r>
        <w:t>https://www.kaggle.com/datasets/prasoonkottarathil/polycystic-ovary-syndrome-pcos</w:t>
      </w:r>
    </w:p>
    <w:p>
      <w:pPr>
        <w:pStyle w:val="ListBullet"/>
      </w:pPr>
      <w:r>
        <w:rPr>
          <w:b/>
        </w:rPr>
        <w:t xml:space="preserve">Real-world menstrual cycles paper and its data-availability statement: </w:t>
      </w:r>
      <w:r>
        <w:t>https://www.nature.com/articles/s41746-019-0152-7</w:t>
      </w:r>
    </w:p>
    <w:p>
      <w:pPr>
        <w:pStyle w:val="Heading2"/>
      </w:pPr>
      <w:r>
        <w:t>What is true of the delivered NAARI package today?</w:t>
      </w:r>
    </w:p>
    <w:p>
      <w:r>
        <w:t>The shipped Gradient Boosting glucose model remains trained only on synthetic data. No external real-data model has been trained or bundled in this version. The cycle-date estimate is a median-based statistical baseline, not ML. These distinctions must stay explicit in the demo, report and project claims.</w:t>
      </w:r>
    </w:p>
    <w:sectPr w:rsidR="00FC693F" w:rsidRPr="0006063C" w:rsidSect="00034616">
      <w:headerReference w:type="default" r:id="rId9"/>
      <w:footerReference w:type="default" r:id="rId10"/>
      <w:pgSz w:w="12240" w:h="15840"/>
      <w:pgMar w:top="979" w:right="1037" w:bottom="936" w:left="1037"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F6872"/>
        <w:sz w:val="16"/>
      </w:rPr>
      <w:t xml:space="preserve">NAARI • Research prototype • Synthetic demo data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rPr>
        <w:b/>
        <w:color w:val="76556F"/>
      </w:rPr>
      <w:t>NAARI  /  COMPLETE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302B3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eastAsia="Aptos Display"/>
      <w:b/>
      <w:bCs/>
      <w:color w:val="594052"/>
      <w:sz w:val="4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76556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5940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594052"/>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val="0"/>
      <w:iCs/>
      <w:color w:val="6F687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60"/>
    </w:pPr>
    <w:rPr>
      <w:color w:val="6F6872"/>
      <w:sz w:val="16"/>
    </w:rPr>
  </w:style>
  <w:style w:type="paragraph" w:customStyle="1" w:styleId="CodeText">
    <w:name w:val="Code Text"/>
    <w:basedOn w:val="Normal"/>
    <w:pPr>
      <w:spacing w:after="20"/>
      <w:ind w:left="259"/>
    </w:pPr>
    <w:rPr>
      <w:rFonts w:ascii="Consolas" w:hAnsi="Consolas" w:eastAsia="Consolas"/>
      <w:color w:val="59405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NAARI Complete Project Guide and Walkthrough</dc:title>
  <dc:subject>Technical architecture, user walkthrough, digital twin, machine learning model, setup, testing, demo, and viva guide</dc:subject>
  <dc:creator>OpenAI</dc:creator>
  <cp:keywords>NAARI, PCOS, Digital Twin, walkthrough, technical guide, machine learning, synthetic data</cp:keywords>
  <dc:description>generated by python-docx</dc:description>
  <cp:lastModifiedBy/>
  <cp:revision>1</cp:revision>
  <dcterms:created xsi:type="dcterms:W3CDTF">2013-12-23T23:15:00Z</dcterms:created>
  <dcterms:modified xsi:type="dcterms:W3CDTF">2013-12-23T23:15:00Z</dcterms:modified>
  <cp:category/>
</cp:coreProperties>
</file>