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400165aac1eaf3df48ae63fe81faadf098640ab"/>
    <w:p>
      <w:pPr>
        <w:pStyle w:val="Heading1"/>
      </w:pPr>
      <w:r>
        <w:t xml:space="preserve">CyberArk SAML Configuration Guide (PingID as Identity Provider)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document provides a step-by-step guide to configure SAML authentication in CyberArk using PingID as the Identity Provider (IdP). It also highlights critical configuration points identified during implementation.</w:t>
      </w:r>
    </w:p>
    <w:p>
      <w:r>
        <w:pict>
          <v:rect style="width:0;height:1.5pt" o:hralign="center" o:hrstd="t" o:hr="t"/>
        </w:pict>
      </w:r>
    </w:p>
    <w:bookmarkEnd w:id="20"/>
    <w:bookmarkStart w:id="21" w:name="prerequisites"/>
    <w:p>
      <w:pPr>
        <w:pStyle w:val="Heading2"/>
      </w:pPr>
      <w:r>
        <w:t xml:space="preserve">2. Prerequisites</w:t>
      </w:r>
    </w:p>
    <w:p>
      <w:pPr>
        <w:pStyle w:val="Compact"/>
        <w:numPr>
          <w:ilvl w:val="0"/>
          <w:numId w:val="1001"/>
        </w:numPr>
      </w:pPr>
      <w:r>
        <w:t xml:space="preserve">CyberArk PAM (Version 14.x)</w:t>
      </w:r>
    </w:p>
    <w:p>
      <w:pPr>
        <w:pStyle w:val="Compact"/>
        <w:numPr>
          <w:ilvl w:val="0"/>
          <w:numId w:val="1001"/>
        </w:numPr>
      </w:pPr>
      <w:r>
        <w:t xml:space="preserve">Administrative access to CyberArk PVWA</w:t>
      </w:r>
    </w:p>
    <w:p>
      <w:pPr>
        <w:pStyle w:val="Compact"/>
        <w:numPr>
          <w:ilvl w:val="0"/>
          <w:numId w:val="1001"/>
        </w:numPr>
      </w:pPr>
      <w:r>
        <w:t xml:space="preserve">Access to Ping Identity / PingFederate / PingID Admin Console</w:t>
      </w:r>
    </w:p>
    <w:p>
      <w:pPr>
        <w:pStyle w:val="Compact"/>
        <w:numPr>
          <w:ilvl w:val="0"/>
          <w:numId w:val="1001"/>
        </w:numPr>
      </w:pPr>
      <w:r>
        <w:t xml:space="preserve">SSL certificates configured</w:t>
      </w:r>
    </w:p>
    <w:p>
      <w:pPr>
        <w:pStyle w:val="Compact"/>
        <w:numPr>
          <w:ilvl w:val="0"/>
          <w:numId w:val="1001"/>
        </w:numPr>
      </w:pPr>
      <w:r>
        <w:t xml:space="preserve">Network connectivity between CyberArk and IdP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i/>
          <w:iCs/>
        </w:rPr>
        <w:t xml:space="preserve">[Screenshot Placeholder – Prerequisites validation]</w:t>
      </w:r>
    </w:p>
    <w:p>
      <w:r>
        <w:pict>
          <v:rect style="width:0;height:1.5pt" o:hralign="center" o:hrstd="t" o:hr="t"/>
        </w:pict>
      </w:r>
    </w:p>
    <w:bookmarkEnd w:id="21"/>
    <w:bookmarkStart w:id="22" w:name="high-level-architecture"/>
    <w:p>
      <w:pPr>
        <w:pStyle w:val="Heading2"/>
      </w:pPr>
      <w:r>
        <w:t xml:space="preserve">3. High-Level Architecture</w:t>
      </w:r>
    </w:p>
    <w:p>
      <w:pPr>
        <w:pStyle w:val="Compact"/>
        <w:numPr>
          <w:ilvl w:val="0"/>
          <w:numId w:val="1002"/>
        </w:numPr>
      </w:pPr>
      <w:r>
        <w:t xml:space="preserve">CyberArk acts as Service Provider (SP)</w:t>
      </w:r>
    </w:p>
    <w:p>
      <w:pPr>
        <w:pStyle w:val="Compact"/>
        <w:numPr>
          <w:ilvl w:val="0"/>
          <w:numId w:val="1002"/>
        </w:numPr>
      </w:pPr>
      <w:r>
        <w:t xml:space="preserve">PingID acts as Identity Provider (IdP)</w:t>
      </w:r>
    </w:p>
    <w:p>
      <w:pPr>
        <w:pStyle w:val="Compact"/>
        <w:numPr>
          <w:ilvl w:val="0"/>
          <w:numId w:val="1002"/>
        </w:numPr>
      </w:pPr>
      <w:r>
        <w:t xml:space="preserve">Authentication flow:</w:t>
      </w:r>
    </w:p>
    <w:p>
      <w:pPr>
        <w:pStyle w:val="Compact"/>
        <w:numPr>
          <w:ilvl w:val="1"/>
          <w:numId w:val="1003"/>
        </w:numPr>
      </w:pPr>
      <w:r>
        <w:t xml:space="preserve">User accesses PVWA</w:t>
      </w:r>
    </w:p>
    <w:p>
      <w:pPr>
        <w:pStyle w:val="Compact"/>
        <w:numPr>
          <w:ilvl w:val="1"/>
          <w:numId w:val="1003"/>
        </w:numPr>
      </w:pPr>
      <w:r>
        <w:t xml:space="preserve">Redirected to PingID</w:t>
      </w:r>
    </w:p>
    <w:p>
      <w:pPr>
        <w:pStyle w:val="Compact"/>
        <w:numPr>
          <w:ilvl w:val="1"/>
          <w:numId w:val="1003"/>
        </w:numPr>
      </w:pPr>
      <w:r>
        <w:t xml:space="preserve">Authentication performed</w:t>
      </w:r>
    </w:p>
    <w:p>
      <w:pPr>
        <w:pStyle w:val="Compact"/>
        <w:numPr>
          <w:ilvl w:val="1"/>
          <w:numId w:val="1003"/>
        </w:numPr>
      </w:pPr>
      <w:r>
        <w:t xml:space="preserve">SAML Assertion returned to CyberArk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i/>
          <w:iCs/>
        </w:rPr>
        <w:t xml:space="preserve">[Screenshot Placeholder – Architecture Diagram]</w:t>
      </w:r>
    </w:p>
    <w:p>
      <w:r>
        <w:pict>
          <v:rect style="width:0;height:1.5pt" o:hralign="center" o:hrstd="t" o:hr="t"/>
        </w:pict>
      </w:r>
    </w:p>
    <w:bookmarkEnd w:id="22"/>
    <w:bookmarkStart w:id="27" w:name="configuration-steps"/>
    <w:p>
      <w:pPr>
        <w:pStyle w:val="Heading2"/>
      </w:pPr>
      <w:r>
        <w:t xml:space="preserve">4. Configuration Steps</w:t>
      </w:r>
    </w:p>
    <w:bookmarkStart w:id="23" w:name="configure-pingid-identity-provider-side"/>
    <w:p>
      <w:pPr>
        <w:pStyle w:val="Heading3"/>
      </w:pPr>
      <w:r>
        <w:t xml:space="preserve">4.1 Configure PingID (Identity Provider Side)</w:t>
      </w:r>
    </w:p>
    <w:p>
      <w:pPr>
        <w:pStyle w:val="Compact"/>
        <w:numPr>
          <w:ilvl w:val="0"/>
          <w:numId w:val="1004"/>
        </w:numPr>
      </w:pPr>
      <w:r>
        <w:t xml:space="preserve">Create a new SAML application</w:t>
      </w:r>
    </w:p>
    <w:p>
      <w:pPr>
        <w:pStyle w:val="Compact"/>
        <w:numPr>
          <w:ilvl w:val="0"/>
          <w:numId w:val="1004"/>
        </w:numPr>
      </w:pPr>
      <w:r>
        <w:t xml:space="preserve">Configure Assertion Consumer Service (ACS) URL:</w:t>
      </w:r>
    </w:p>
    <w:p>
      <w:pPr>
        <w:pStyle w:val="Compact"/>
        <w:numPr>
          <w:ilvl w:val="1"/>
          <w:numId w:val="1005"/>
        </w:numPr>
      </w:pPr>
      <w:r>
        <w:t xml:space="preserve">https://</w:t>
      </w:r>
      <w:r>
        <w:t xml:space="preserve">/PasswordVault/api/auth/saml/logon</w:t>
      </w:r>
    </w:p>
    <w:p>
      <w:pPr>
        <w:pStyle w:val="Compact"/>
        <w:numPr>
          <w:ilvl w:val="0"/>
          <w:numId w:val="1004"/>
        </w:numPr>
      </w:pPr>
      <w:r>
        <w:t xml:space="preserve">Configure Entity ID:</w:t>
      </w:r>
    </w:p>
    <w:p>
      <w:pPr>
        <w:pStyle w:val="Compact"/>
        <w:numPr>
          <w:ilvl w:val="1"/>
          <w:numId w:val="1006"/>
        </w:numPr>
      </w:pPr>
      <w:r>
        <w:t xml:space="preserve">CyberArk</w:t>
      </w:r>
    </w:p>
    <w:p>
      <w:pPr>
        <w:pStyle w:val="Compact"/>
        <w:numPr>
          <w:ilvl w:val="0"/>
          <w:numId w:val="1004"/>
        </w:numPr>
      </w:pPr>
      <w:r>
        <w:t xml:space="preserve">Set NameID format (typically email or username)</w:t>
      </w:r>
    </w:p>
    <w:p>
      <w:pPr>
        <w:pStyle w:val="Compact"/>
        <w:numPr>
          <w:ilvl w:val="0"/>
          <w:numId w:val="1004"/>
        </w:numPr>
      </w:pPr>
      <w:r>
        <w:t xml:space="preserve">Configure required attributes (e.g., username, groups)</w:t>
      </w:r>
    </w:p>
    <w:p>
      <w:pPr>
        <w:pStyle w:val="Compact"/>
        <w:numPr>
          <w:ilvl w:val="0"/>
          <w:numId w:val="1004"/>
        </w:numPr>
      </w:pPr>
      <w:r>
        <w:t xml:space="preserve">Export IdP metadata XML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i/>
          <w:iCs/>
        </w:rPr>
        <w:t xml:space="preserve">[Screenshot Placeholder – PingID SAML App Configuration]</w:t>
      </w:r>
    </w:p>
    <w:p>
      <w:r>
        <w:pict>
          <v:rect style="width:0;height:1.5pt" o:hralign="center" o:hrstd="t" o:hr="t"/>
        </w:pict>
      </w:r>
    </w:p>
    <w:bookmarkEnd w:id="23"/>
    <w:bookmarkStart w:id="26" w:name="configure-cyberark-service-provider-side"/>
    <w:p>
      <w:pPr>
        <w:pStyle w:val="Heading3"/>
      </w:pPr>
      <w:r>
        <w:t xml:space="preserve">4.2 Configure CyberArk (Service Provider Side)</w:t>
      </w:r>
    </w:p>
    <w:bookmarkStart w:id="24" w:name="step-1-upload-idp-metadata"/>
    <w:p>
      <w:pPr>
        <w:pStyle w:val="Heading4"/>
      </w:pPr>
      <w:r>
        <w:t xml:space="preserve">Step 1: Upload IdP Metadata</w:t>
      </w:r>
    </w:p>
    <w:p>
      <w:pPr>
        <w:pStyle w:val="Compact"/>
        <w:numPr>
          <w:ilvl w:val="0"/>
          <w:numId w:val="1007"/>
        </w:numPr>
      </w:pPr>
      <w:r>
        <w:t xml:space="preserve">Navigate to PVWA → Administration → Authentication → SAML</w:t>
      </w:r>
    </w:p>
    <w:p>
      <w:pPr>
        <w:pStyle w:val="Compact"/>
        <w:numPr>
          <w:ilvl w:val="0"/>
          <w:numId w:val="1007"/>
        </w:numPr>
      </w:pPr>
      <w:r>
        <w:t xml:space="preserve">Upload metadata XML from PingID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i/>
          <w:iCs/>
        </w:rPr>
        <w:t xml:space="preserve">[Screenshot Placeholder – Upload Metadata]</w:t>
      </w:r>
    </w:p>
    <w:bookmarkEnd w:id="24"/>
    <w:bookmarkStart w:id="25" w:name="step-2-configure-saml-settings"/>
    <w:p>
      <w:pPr>
        <w:pStyle w:val="Heading4"/>
      </w:pPr>
      <w:r>
        <w:t xml:space="preserve">Step 2: Configure SAML Settings</w:t>
      </w:r>
    </w:p>
    <w:p>
      <w:pPr>
        <w:pStyle w:val="Compact"/>
        <w:numPr>
          <w:ilvl w:val="0"/>
          <w:numId w:val="1008"/>
        </w:numPr>
      </w:pPr>
      <w:r>
        <w:t xml:space="preserve">Enable SAML authentication</w:t>
      </w:r>
    </w:p>
    <w:p>
      <w:pPr>
        <w:pStyle w:val="Compact"/>
        <w:numPr>
          <w:ilvl w:val="0"/>
          <w:numId w:val="1008"/>
        </w:numPr>
      </w:pPr>
      <w:r>
        <w:t xml:space="preserve">Define:</w:t>
      </w:r>
    </w:p>
    <w:p>
      <w:pPr>
        <w:pStyle w:val="Compact"/>
        <w:numPr>
          <w:ilvl w:val="1"/>
          <w:numId w:val="1009"/>
        </w:numPr>
      </w:pPr>
      <w:r>
        <w:t xml:space="preserve">Issuer</w:t>
      </w:r>
    </w:p>
    <w:p>
      <w:pPr>
        <w:pStyle w:val="Compact"/>
        <w:numPr>
          <w:ilvl w:val="1"/>
          <w:numId w:val="1009"/>
        </w:numPr>
      </w:pPr>
      <w:r>
        <w:t xml:space="preserve">Redirect URL</w:t>
      </w:r>
    </w:p>
    <w:p>
      <w:pPr>
        <w:pStyle w:val="Compact"/>
        <w:numPr>
          <w:ilvl w:val="1"/>
          <w:numId w:val="1009"/>
        </w:numPr>
      </w:pPr>
      <w:r>
        <w:t xml:space="preserve">Certificate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i/>
          <w:iCs/>
        </w:rPr>
        <w:t xml:space="preserve">[Screenshot Placeholder – SAML Settings]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2" w:name="critical-configuration-notes-important"/>
    <w:p>
      <w:pPr>
        <w:pStyle w:val="Heading2"/>
      </w:pPr>
      <w:r>
        <w:t xml:space="preserve">5. Critical Configuration Notes (Important)</w:t>
      </w:r>
    </w:p>
    <w:bookmarkStart w:id="28" w:name="disablerecipientcheck-very-important"/>
    <w:p>
      <w:pPr>
        <w:pStyle w:val="Heading3"/>
      </w:pPr>
      <w:r>
        <w:t xml:space="preserve">5.1 DisableRecipientCheck (VERY IMPORTANT)</w:t>
      </w:r>
    </w:p>
    <w:p>
      <w:pPr>
        <w:pStyle w:val="FirstParagraph"/>
      </w:pPr>
      <w:r>
        <w:t xml:space="preserve">During implementation, SAML authentication failed until this parameter was configured.</w:t>
      </w:r>
    </w:p>
    <w:p>
      <w:pPr>
        <w:pStyle w:val="Compact"/>
        <w:numPr>
          <w:ilvl w:val="0"/>
          <w:numId w:val="1010"/>
        </w:numPr>
      </w:pPr>
      <w:r>
        <w:t xml:space="preserve">Parameter:</w:t>
      </w:r>
      <w:r>
        <w:t xml:space="preserve"> </w:t>
      </w:r>
      <w:r>
        <w:rPr>
          <w:rStyle w:val="VerbatimChar"/>
        </w:rPr>
        <w:t xml:space="preserve">DisableRecipientCheck</w:t>
      </w:r>
    </w:p>
    <w:p>
      <w:pPr>
        <w:pStyle w:val="Compact"/>
        <w:numPr>
          <w:ilvl w:val="0"/>
          <w:numId w:val="1010"/>
        </w:numPr>
      </w:pPr>
      <w:r>
        <w:t xml:space="preserve">Recommended Value:</w:t>
      </w:r>
      <w:r>
        <w:t xml:space="preserve"> </w:t>
      </w:r>
      <w:r>
        <w:rPr>
          <w:rStyle w:val="VerbatimChar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Why this is important:</w:t>
      </w:r>
      <w:r>
        <w:t xml:space="preserve"> </w:t>
      </w:r>
      <w:r>
        <w:t xml:space="preserve">- Ensures that CyberArk does not strictly validate the recipient field in the SAML response.</w:t>
      </w:r>
      <w:r>
        <w:t xml:space="preserve"> </w:t>
      </w:r>
      <w:r>
        <w:t xml:space="preserve">- Required in environments where load balancers, proxies, or URL mismatches exist.</w:t>
      </w:r>
    </w:p>
    <w:p>
      <w:pPr>
        <w:pStyle w:val="BodyText"/>
      </w:pPr>
      <w:r>
        <w:t xml:space="preserve">⚠️ Without this setting, authentication may fail intermittently or consistently.</w:t>
      </w:r>
    </w:p>
    <w:p>
      <w:pPr>
        <w:pStyle w:val="BodyText"/>
      </w:pPr>
      <w:r>
        <w:t xml:space="preserve">📸</w:t>
      </w:r>
      <w:r>
        <w:t xml:space="preserve"> </w:t>
      </w:r>
      <w:r>
        <w:rPr>
          <w:i/>
          <w:iCs/>
        </w:rPr>
        <w:t xml:space="preserve">[Screenshot Placeholder – DisableRecipientCheck Configuration]</w:t>
      </w:r>
    </w:p>
    <w:p>
      <w:r>
        <w:pict>
          <v:rect style="width:0;height:1.5pt" o:hralign="center" o:hrstd="t" o:hr="t"/>
        </w:pict>
      </w:r>
    </w:p>
    <w:bookmarkEnd w:id="28"/>
    <w:bookmarkStart w:id="31" w:name="X67edce1fa53d3d215aa17f966ad4a6a748be173"/>
    <w:p>
      <w:pPr>
        <w:pStyle w:val="Heading3"/>
      </w:pPr>
      <w:r>
        <w:t xml:space="preserve">5.2 ExternalAuthenticationMode (Post Upgrade Impact)</w:t>
      </w:r>
    </w:p>
    <w:p>
      <w:pPr>
        <w:pStyle w:val="FirstParagraph"/>
      </w:pPr>
      <w:r>
        <w:t xml:space="preserve">After upgrading CyberArk from</w:t>
      </w:r>
      <w:r>
        <w:t xml:space="preserve"> </w:t>
      </w:r>
      <w:r>
        <w:rPr>
          <w:b/>
          <w:bCs/>
        </w:rPr>
        <w:t xml:space="preserve">14.0 → 14.6</w:t>
      </w:r>
      <w:r>
        <w:t xml:space="preserve">, this parameter became critical.</w:t>
      </w:r>
    </w:p>
    <w:p>
      <w:pPr>
        <w:pStyle w:val="Compact"/>
        <w:numPr>
          <w:ilvl w:val="0"/>
          <w:numId w:val="1011"/>
        </w:numPr>
      </w:pPr>
      <w:r>
        <w:t xml:space="preserve">File:</w:t>
      </w:r>
      <w:r>
        <w:t xml:space="preserve"> </w:t>
      </w:r>
      <w:r>
        <w:rPr>
          <w:rStyle w:val="VerbatimChar"/>
        </w:rPr>
        <w:t xml:space="preserve">DBParm.ini</w:t>
      </w:r>
    </w:p>
    <w:p>
      <w:pPr>
        <w:pStyle w:val="Compact"/>
        <w:numPr>
          <w:ilvl w:val="0"/>
          <w:numId w:val="1011"/>
        </w:numPr>
      </w:pPr>
      <w:r>
        <w:t xml:space="preserve">Parameter:</w:t>
      </w:r>
      <w:r>
        <w:t xml:space="preserve"> </w:t>
      </w:r>
      <w:r>
        <w:rPr>
          <w:rStyle w:val="VerbatimChar"/>
        </w:rPr>
        <w:t xml:space="preserve">ExternalAuthenticationMode</w:t>
      </w:r>
    </w:p>
    <w:bookmarkStart w:id="29" w:name="available-values"/>
    <w:p>
      <w:pPr>
        <w:pStyle w:val="Heading4"/>
      </w:pPr>
      <w:r>
        <w:t xml:space="preserve">Available Values:</w:t>
      </w:r>
    </w:p>
    <w:p>
      <w:pPr>
        <w:pStyle w:val="FirstParagraph"/>
      </w:pPr>
      <w:r>
        <w:rPr>
          <w:b/>
          <w:bCs/>
        </w:rPr>
        <w:t xml:space="preserve">1. AllowAll</w:t>
      </w:r>
      <w:r>
        <w:t xml:space="preserve"> </w:t>
      </w:r>
      <w:r>
        <w:t xml:space="preserve">- Default for fresh installs and upgrades from versions prior to 14.4</w:t>
      </w:r>
      <w:r>
        <w:t xml:space="preserve"> </w:t>
      </w:r>
      <w:r>
        <w:t xml:space="preserve">- Allows users to authenticate using any external method</w:t>
      </w:r>
    </w:p>
    <w:p>
      <w:pPr>
        <w:pStyle w:val="BodyText"/>
      </w:pPr>
      <w:r>
        <w:rPr>
          <w:b/>
          <w:bCs/>
        </w:rPr>
        <w:t xml:space="preserve">2. AllowAutomaticConfig</w:t>
      </w:r>
      <w:r>
        <w:t xml:space="preserve"> </w:t>
      </w:r>
      <w:r>
        <w:t xml:space="preserve">- Automatically binds the first authentication method used by a user</w:t>
      </w:r>
      <w:r>
        <w:t xml:space="preserve"> </w:t>
      </w:r>
      <w:r>
        <w:t xml:space="preserve">- Restricts future login to the same method unless updated manually</w:t>
      </w:r>
    </w:p>
    <w:p>
      <w:pPr>
        <w:pStyle w:val="BodyText"/>
      </w:pPr>
      <w:r>
        <w:rPr>
          <w:b/>
          <w:bCs/>
        </w:rPr>
        <w:t xml:space="preserve">3. Strict</w:t>
      </w:r>
      <w:r>
        <w:t xml:space="preserve"> </w:t>
      </w:r>
      <w:r>
        <w:t xml:space="preserve">- Only explicitly defined authentication methods are allowed per user</w:t>
      </w:r>
      <w:r>
        <w:t xml:space="preserve"> </w:t>
      </w:r>
      <w:r>
        <w:t xml:space="preserve">- Enforces strict control over authentication methods</w:t>
      </w:r>
    </w:p>
    <w:bookmarkEnd w:id="29"/>
    <w:bookmarkStart w:id="30" w:name="important-notes"/>
    <w:p>
      <w:pPr>
        <w:pStyle w:val="Heading4"/>
      </w:pPr>
      <w:r>
        <w:t xml:space="preserve">Important Notes:</w:t>
      </w:r>
    </w:p>
    <w:p>
      <w:pPr>
        <w:pStyle w:val="Compact"/>
        <w:numPr>
          <w:ilvl w:val="0"/>
          <w:numId w:val="1012"/>
        </w:numPr>
      </w:pPr>
      <w:r>
        <w:t xml:space="preserve">From version</w:t>
      </w:r>
      <w:r>
        <w:t xml:space="preserve"> </w:t>
      </w:r>
      <w:r>
        <w:rPr>
          <w:b/>
          <w:bCs/>
        </w:rPr>
        <w:t xml:space="preserve">14.4 onwards</w:t>
      </w:r>
      <w:r>
        <w:t xml:space="preserve">, CyberArk enforces authentication permissions based on this parameter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Remote Access is enabled</w:t>
      </w:r>
      <w:r>
        <w:t xml:space="preserve">, the value</w:t>
      </w:r>
      <w:r>
        <w:t xml:space="preserve"> </w:t>
      </w:r>
      <w:r>
        <w:rPr>
          <w:b/>
          <w:bCs/>
        </w:rPr>
        <w:t xml:space="preserve">must be AllowAll</w:t>
      </w:r>
      <w:r>
        <w:t xml:space="preserve"> </w:t>
      </w:r>
      <w:r>
        <w:t xml:space="preserve">and cannot be changed</w:t>
      </w:r>
    </w:p>
    <w:p>
      <w:pPr>
        <w:pStyle w:val="Compact"/>
        <w:numPr>
          <w:ilvl w:val="0"/>
          <w:numId w:val="1012"/>
        </w:numPr>
      </w:pPr>
      <w:r>
        <w:t xml:space="preserve">Missing or incorrect configuration may result in login failures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i/>
          <w:iCs/>
        </w:rPr>
        <w:t xml:space="preserve">[Screenshot Placeholder – DBParm.ini Configuration]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4" w:name="validation-testing"/>
    <w:p>
      <w:pPr>
        <w:pStyle w:val="Heading2"/>
      </w:pPr>
      <w:r>
        <w:t xml:space="preserve">6. Validation &amp; Testing</w:t>
      </w:r>
    </w:p>
    <w:bookmarkStart w:id="33" w:name="test-steps"/>
    <w:p>
      <w:pPr>
        <w:pStyle w:val="Heading3"/>
      </w:pPr>
      <w:r>
        <w:t xml:space="preserve">Test Steps:</w:t>
      </w:r>
    </w:p>
    <w:p>
      <w:pPr>
        <w:pStyle w:val="Compact"/>
        <w:numPr>
          <w:ilvl w:val="0"/>
          <w:numId w:val="1013"/>
        </w:numPr>
      </w:pPr>
      <w:r>
        <w:t xml:space="preserve">Access PVWA URL</w:t>
      </w:r>
    </w:p>
    <w:p>
      <w:pPr>
        <w:pStyle w:val="Compact"/>
        <w:numPr>
          <w:ilvl w:val="0"/>
          <w:numId w:val="1013"/>
        </w:numPr>
      </w:pPr>
      <w:r>
        <w:t xml:space="preserve">Select SAML login</w:t>
      </w:r>
    </w:p>
    <w:p>
      <w:pPr>
        <w:pStyle w:val="Compact"/>
        <w:numPr>
          <w:ilvl w:val="0"/>
          <w:numId w:val="1013"/>
        </w:numPr>
      </w:pPr>
      <w:r>
        <w:t xml:space="preserve">Redirect to PingID</w:t>
      </w:r>
    </w:p>
    <w:p>
      <w:pPr>
        <w:pStyle w:val="Compact"/>
        <w:numPr>
          <w:ilvl w:val="0"/>
          <w:numId w:val="1013"/>
        </w:numPr>
      </w:pPr>
      <w:r>
        <w:t xml:space="preserve">Complete authentication</w:t>
      </w:r>
    </w:p>
    <w:p>
      <w:pPr>
        <w:pStyle w:val="Compact"/>
        <w:numPr>
          <w:ilvl w:val="0"/>
          <w:numId w:val="1013"/>
        </w:numPr>
      </w:pPr>
      <w:r>
        <w:t xml:space="preserve">Validate successful login to CyberArk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i/>
          <w:iCs/>
        </w:rPr>
        <w:t xml:space="preserve">[Screenshot Placeholder – Successful Login]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troubleshooting"/>
    <w:p>
      <w:pPr>
        <w:pStyle w:val="Heading2"/>
      </w:pPr>
      <w:r>
        <w:t xml:space="preserve">7. Troubleshooting</w:t>
      </w:r>
    </w:p>
    <w:bookmarkStart w:id="35" w:name="common-issues"/>
    <w:p>
      <w:pPr>
        <w:pStyle w:val="Heading3"/>
      </w:pPr>
      <w:r>
        <w:t xml:space="preserve">Common Issues:</w:t>
      </w:r>
    </w:p>
    <w:p>
      <w:pPr>
        <w:pStyle w:val="FirstParagraph"/>
      </w:pPr>
      <w:r>
        <w:rPr>
          <w:b/>
          <w:bCs/>
        </w:rPr>
        <w:t xml:space="preserve">Issue 1: Login Failure After Redirection</w:t>
      </w:r>
      <w:r>
        <w:t xml:space="preserve"> </w:t>
      </w:r>
      <w:r>
        <w:t xml:space="preserve">- Check:</w:t>
      </w:r>
      <w:r>
        <w:t xml:space="preserve"> </w:t>
      </w:r>
      <w:r>
        <w:t xml:space="preserve">- DisableRecipientCheck</w:t>
      </w:r>
      <w:r>
        <w:t xml:space="preserve"> </w:t>
      </w:r>
      <w:r>
        <w:t xml:space="preserve">- Metadata configuration</w:t>
      </w:r>
    </w:p>
    <w:p>
      <w:pPr>
        <w:pStyle w:val="BodyText"/>
      </w:pPr>
      <w:r>
        <w:rPr>
          <w:b/>
          <w:bCs/>
        </w:rPr>
        <w:t xml:space="preserve">Issue 2: User Not Authorized</w:t>
      </w:r>
      <w:r>
        <w:t xml:space="preserve"> </w:t>
      </w:r>
      <w:r>
        <w:t xml:space="preserve">- Verify:</w:t>
      </w:r>
      <w:r>
        <w:t xml:space="preserve"> </w:t>
      </w:r>
      <w:r>
        <w:t xml:space="preserve">- ExternalAuthenticationMode</w:t>
      </w:r>
      <w:r>
        <w:t xml:space="preserve"> </w:t>
      </w:r>
      <w:r>
        <w:t xml:space="preserve">- User authentication permissions</w:t>
      </w:r>
    </w:p>
    <w:p>
      <w:pPr>
        <w:pStyle w:val="BodyText"/>
      </w:pPr>
      <w:r>
        <w:rPr>
          <w:b/>
          <w:bCs/>
        </w:rPr>
        <w:t xml:space="preserve">Issue 3: Assertion Errors</w:t>
      </w:r>
      <w:r>
        <w:t xml:space="preserve"> </w:t>
      </w:r>
      <w:r>
        <w:t xml:space="preserve">- Validate:</w:t>
      </w:r>
      <w:r>
        <w:t xml:space="preserve"> </w:t>
      </w:r>
      <w:r>
        <w:t xml:space="preserve">- SAML response using browser tools or SAML tracer</w:t>
      </w:r>
    </w:p>
    <w:p>
      <w:pPr>
        <w:pStyle w:val="BodyText"/>
      </w:pPr>
      <w:r>
        <w:t xml:space="preserve">📸</w:t>
      </w:r>
      <w:r>
        <w:t xml:space="preserve"> </w:t>
      </w:r>
      <w:r>
        <w:rPr>
          <w:i/>
          <w:iCs/>
        </w:rPr>
        <w:t xml:space="preserve">[Screenshot Placeholder – SAML Trace]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aml-trace-debugging"/>
    <w:p>
      <w:pPr>
        <w:pStyle w:val="Heading2"/>
      </w:pPr>
      <w:r>
        <w:t xml:space="preserve">8. SAML Trace &amp; Debugging</w:t>
      </w:r>
    </w:p>
    <w:p>
      <w:pPr>
        <w:pStyle w:val="Compact"/>
        <w:numPr>
          <w:ilvl w:val="0"/>
          <w:numId w:val="1014"/>
        </w:numPr>
      </w:pPr>
      <w:r>
        <w:t xml:space="preserve">Use browser extensions (SAML Tracer)</w:t>
      </w:r>
    </w:p>
    <w:p>
      <w:pPr>
        <w:pStyle w:val="Compact"/>
        <w:numPr>
          <w:ilvl w:val="0"/>
          <w:numId w:val="1014"/>
        </w:numPr>
      </w:pPr>
      <w:r>
        <w:t xml:space="preserve">Validate:</w:t>
      </w:r>
    </w:p>
    <w:p>
      <w:pPr>
        <w:pStyle w:val="Compact"/>
        <w:numPr>
          <w:ilvl w:val="1"/>
          <w:numId w:val="1015"/>
        </w:numPr>
      </w:pPr>
      <w:r>
        <w:t xml:space="preserve">Assertion</w:t>
      </w:r>
    </w:p>
    <w:p>
      <w:pPr>
        <w:pStyle w:val="Compact"/>
        <w:numPr>
          <w:ilvl w:val="1"/>
          <w:numId w:val="1015"/>
        </w:numPr>
      </w:pPr>
      <w:r>
        <w:t xml:space="preserve">NameID</w:t>
      </w:r>
    </w:p>
    <w:p>
      <w:pPr>
        <w:pStyle w:val="Compact"/>
        <w:numPr>
          <w:ilvl w:val="1"/>
          <w:numId w:val="1015"/>
        </w:numPr>
      </w:pPr>
      <w:r>
        <w:t xml:space="preserve">Audience</w:t>
      </w:r>
    </w:p>
    <w:p>
      <w:pPr>
        <w:pStyle w:val="Compact"/>
        <w:numPr>
          <w:ilvl w:val="1"/>
          <w:numId w:val="1015"/>
        </w:numPr>
      </w:pPr>
      <w:r>
        <w:t xml:space="preserve">Recipient</w:t>
      </w:r>
    </w:p>
    <w:p>
      <w:pPr>
        <w:pStyle w:val="FirstParagraph"/>
      </w:pPr>
      <w:r>
        <w:t xml:space="preserve">📸</w:t>
      </w:r>
      <w:r>
        <w:t xml:space="preserve"> </w:t>
      </w:r>
      <w:r>
        <w:rPr>
          <w:i/>
          <w:iCs/>
        </w:rPr>
        <w:t xml:space="preserve">[Screenshot Placeholder – SAML Trace Details]</w:t>
      </w:r>
    </w:p>
    <w:p>
      <w:r>
        <w:pict>
          <v:rect style="width:0;height:1.5pt" o:hralign="center" o:hrstd="t" o:hr="t"/>
        </w:pict>
      </w:r>
    </w:p>
    <w:bookmarkEnd w:id="37"/>
    <w:bookmarkStart w:id="38" w:name="best-practices"/>
    <w:p>
      <w:pPr>
        <w:pStyle w:val="Heading2"/>
      </w:pPr>
      <w:r>
        <w:t xml:space="preserve">9. Best Practices</w:t>
      </w:r>
    </w:p>
    <w:p>
      <w:pPr>
        <w:pStyle w:val="Compact"/>
        <w:numPr>
          <w:ilvl w:val="0"/>
          <w:numId w:val="1016"/>
        </w:numPr>
      </w:pPr>
      <w:r>
        <w:t xml:space="preserve">Always validate metadata after upgrades</w:t>
      </w:r>
    </w:p>
    <w:p>
      <w:pPr>
        <w:pStyle w:val="Compact"/>
        <w:numPr>
          <w:ilvl w:val="0"/>
          <w:numId w:val="1016"/>
        </w:numPr>
      </w:pPr>
      <w:r>
        <w:t xml:space="preserve">Keep backup of DBParm.ini before changes</w:t>
      </w:r>
    </w:p>
    <w:p>
      <w:pPr>
        <w:pStyle w:val="Compact"/>
        <w:numPr>
          <w:ilvl w:val="0"/>
          <w:numId w:val="1016"/>
        </w:numPr>
      </w:pPr>
      <w:r>
        <w:t xml:space="preserve">Test in lower environments before production rollout</w:t>
      </w:r>
    </w:p>
    <w:p>
      <w:pPr>
        <w:pStyle w:val="Compact"/>
        <w:numPr>
          <w:ilvl w:val="0"/>
          <w:numId w:val="1016"/>
        </w:numPr>
      </w:pPr>
      <w:r>
        <w:t xml:space="preserve">Monitor logs during initial rollout</w:t>
      </w:r>
    </w:p>
    <w:p>
      <w:r>
        <w:pict>
          <v:rect style="width:0;height:1.5pt" o:hralign="center" o:hrstd="t" o:hr="t"/>
        </w:pict>
      </w:r>
    </w:p>
    <w:bookmarkEnd w:id="38"/>
    <w:bookmarkStart w:id="39" w:name="references"/>
    <w:p>
      <w:pPr>
        <w:pStyle w:val="Heading2"/>
      </w:pPr>
      <w:r>
        <w:t xml:space="preserve">10. References</w:t>
      </w:r>
    </w:p>
    <w:p>
      <w:pPr>
        <w:pStyle w:val="Compact"/>
        <w:numPr>
          <w:ilvl w:val="0"/>
          <w:numId w:val="1017"/>
        </w:numPr>
      </w:pPr>
      <w:r>
        <w:t xml:space="preserve">CyberArk Official Documentation (SAML Authentication)</w:t>
      </w:r>
    </w:p>
    <w:p>
      <w:pPr>
        <w:pStyle w:val="Compact"/>
        <w:numPr>
          <w:ilvl w:val="0"/>
          <w:numId w:val="1017"/>
        </w:numPr>
      </w:pPr>
      <w:r>
        <w:t xml:space="preserve">Internal Implementation Notes</w:t>
      </w:r>
    </w:p>
    <w:p>
      <w:r>
        <w:pict>
          <v:rect style="width:0;height:1.5pt" o:hralign="center" o:hrstd="t" o:hr="t"/>
        </w:pict>
      </w:r>
    </w:p>
    <w:bookmarkEnd w:id="39"/>
    <w:bookmarkStart w:id="40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This document outlines the configuration of SAML authentication in CyberArk with PingID, including key learnings from implementation. Special attention must be given to DisableRecipientCheck and ExternalAuthenticationMode, especially in upgraded environments.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2026-03-31T12:31:24Z</dcterms:created>
  <dcterms:modified xsi:type="dcterms:W3CDTF">2026-03-31T12:31:24Z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