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b/>
          <w:color w:val="C9952B"/>
          <w:sz w:val="22"/>
        </w:rPr>
        <w:t>KONSEPT TADQIQOTI</w:t>
      </w:r>
    </w:p>
    <w:p>
      <w:pPr>
        <w:pStyle w:val="Title"/>
        <w:jc w:val="center"/>
      </w:pPr>
      <w:r>
        <w:t>Smart qurol-aslaha shkafi</w:t>
      </w:r>
    </w:p>
    <w:p>
      <w:pPr>
        <w:pStyle w:val="Subtitle"/>
        <w:jc w:val="center"/>
      </w:pPr>
      <w:r>
        <w:t>Bitta vakolatli xodim uchun individual qurol va xizmat jihozlarini xavfsiz saqlash, berish-qaytarish hamda elektron hisobga olish tizimi</w:t>
      </w:r>
    </w:p>
    <w:p>
      <w:pPr>
        <w:spacing w:after="500"/>
      </w:pPr>
    </w:p>
    <w:tbl>
      <w:tblPr>
        <w:tblW w:type="auto" w:w="0"/>
        <w:tblLayout w:type="fixed"/>
        <w:tblLook w:firstColumn="1" w:firstRow="1" w:lastColumn="0" w:lastRow="0" w:noHBand="0" w:noVBand="1" w:val="04A0"/>
      </w:tblPr>
      <w:tblGrid>
        <w:gridCol w:w="9288"/>
      </w:tblGrid>
      <w:tr>
        <w:trPr>
          <w:cantSplit/>
          <w:tblHeader w:val="true"/>
        </w:trPr>
        <w:tc>
          <w:tcPr>
            <w:tcW w:type="dxa" w:w="9547"/>
            <w:shd w:fill="DDEBF7"/>
            <w:tcMar>
              <w:top w:w="150" w:type="dxa"/>
              <w:start w:w="180" w:type="dxa"/>
              <w:bottom w:w="150" w:type="dxa"/>
              <w:end w:w="180" w:type="dxa"/>
            </w:tcMar>
          </w:tcPr>
          <w:p>
            <w:pPr>
              <w:spacing w:after="80"/>
            </w:pPr>
            <w:r/>
            <w:r>
              <w:rPr>
                <w:b/>
                <w:color w:val="2E75B6"/>
                <w:sz w:val="18"/>
              </w:rPr>
              <w:t>ASOSIY KONFIGURATSIYA</w:t>
            </w:r>
          </w:p>
          <w:p>
            <w:pPr>
              <w:spacing w:after="0" w:line="259" w:lineRule="auto"/>
            </w:pPr>
            <w:r>
              <w:t>Qurol bo‘limi: 2000 × 400 × 600 mm</w:t>
              <w:br/>
              <w:t>Elektronika moduli bilan kompleks: 2000 × 600 × 600 mm</w:t>
              <w:br/>
              <w:t>Qo‘llanish sohasi: IIV va xizmat qurolidan foydalanishga vakolatli bo‘linmalar</w:t>
            </w:r>
          </w:p>
        </w:tc>
      </w:tr>
    </w:tbl>
    <w:p>
      <w:pPr>
        <w:spacing w:after="20"/>
      </w:pPr>
    </w:p>
    <w:p>
      <w:pPr>
        <w:spacing w:after="1400"/>
      </w:pPr>
    </w:p>
    <w:p>
      <w:pPr>
        <w:jc w:val="center"/>
      </w:pPr>
      <w:r>
        <w:rPr>
          <w:b/>
          <w:color w:val="17365D"/>
        </w:rPr>
        <w:t>Tadqiqot tarkibi</w:t>
      </w:r>
    </w:p>
    <w:p>
      <w:pPr>
        <w:spacing w:after="60"/>
        <w:jc w:val="center"/>
      </w:pPr>
      <w:r>
        <w:t>1. Shkaf o‘lchamlari va standartlari</w:t>
      </w:r>
    </w:p>
    <w:p>
      <w:pPr>
        <w:spacing w:after="60"/>
        <w:jc w:val="center"/>
      </w:pPr>
      <w:r>
        <w:t>2. Kimga mo‘ljallangan va foydalanish vakolatlari</w:t>
      </w:r>
    </w:p>
    <w:p>
      <w:pPr>
        <w:spacing w:after="60"/>
        <w:jc w:val="center"/>
      </w:pPr>
      <w:r>
        <w:t>3. Statistika, ko‘lam va joriy etish modeli</w:t>
      </w:r>
    </w:p>
    <w:p>
      <w:pPr>
        <w:spacing w:after="60"/>
        <w:jc w:val="center"/>
      </w:pPr>
      <w:r>
        <w:t>4. Xalqaro tajriba va tavsiya etiladigan arxitektura</w:t>
      </w:r>
    </w:p>
    <w:p>
      <w:pPr>
        <w:spacing w:before="1100"/>
        <w:jc w:val="center"/>
      </w:pPr>
      <w:r>
        <w:rPr>
          <w:color w:val="65758B"/>
          <w:sz w:val="20"/>
        </w:rPr>
        <w:t>Toshkent • 2026</w:t>
      </w:r>
    </w:p>
    <w:p>
      <w:r>
        <w:br w:type="page"/>
      </w:r>
    </w:p>
    <w:p>
      <w:pPr>
        <w:pStyle w:val="Title"/>
      </w:pPr>
      <w:r>
        <w:t>Mundarija</w:t>
      </w:r>
    </w:p>
    <w:p>
      <w:fldSimple w:instr="TOC \o &quot;1-3&quot; \h \z \u"/>
    </w:p>
    <w:tbl>
      <w:tblPr>
        <w:tblW w:type="auto" w:w="0"/>
        <w:tblLayout w:type="fixed"/>
        <w:tblLook w:firstColumn="1" w:firstRow="1" w:lastColumn="0" w:lastRow="0" w:noHBand="0" w:noVBand="1" w:val="04A0"/>
      </w:tblPr>
      <w:tblGrid>
        <w:gridCol w:w="9288"/>
      </w:tblGrid>
      <w:tr>
        <w:trPr>
          <w:cantSplit/>
          <w:tblHeader w:val="true"/>
        </w:trPr>
        <w:tc>
          <w:tcPr>
            <w:tcW w:type="dxa" w:w="9547"/>
            <w:shd w:fill="F2F4F7"/>
            <w:tcMar>
              <w:top w:w="150" w:type="dxa"/>
              <w:start w:w="180" w:type="dxa"/>
              <w:bottom w:w="150" w:type="dxa"/>
              <w:end w:w="180" w:type="dxa"/>
            </w:tcMar>
          </w:tcPr>
          <w:p>
            <w:pPr>
              <w:spacing w:after="80"/>
            </w:pPr>
            <w:r/>
            <w:r>
              <w:rPr>
                <w:b/>
                <w:color w:val="2E75B6"/>
                <w:sz w:val="18"/>
              </w:rPr>
              <w:t>MUHIM IZOH</w:t>
            </w:r>
          </w:p>
          <w:p>
            <w:pPr>
              <w:spacing w:after="0" w:line="259" w:lineRule="auto"/>
            </w:pPr>
            <w:r>
              <w:t>Mazkur hujjat texnik topshiriq emas. U keyingi TZni tayyorlash uchun bazaviy tadqiqot va konsept qarorlarini bir joyga jamlaydi. Yakuniy me’yoriy talablar IIVning vakolatli bo‘linmasi, sertifikatlash organi va buyurtmachi bilan kelishiladi.</w:t>
            </w:r>
          </w:p>
        </w:tc>
      </w:tr>
    </w:tbl>
    <w:p>
      <w:pPr>
        <w:spacing w:after="20"/>
      </w:pPr>
    </w:p>
    <w:p>
      <w:pPr>
        <w:pStyle w:val="Heading1"/>
      </w:pPr>
      <w:r>
        <w:t>Loyiha konsepsiyasi</w:t>
      </w:r>
    </w:p>
    <w:p>
      <w:r>
        <w:t>Smart qurol-aslaha shkafi — bitta vakolatli xodimga biriktirilgan qurol, o‘q-dori va xizmat jihozlarini saqlash, ularning olinishi va qaytarilishini avtomatik qayd etish hamda ruxsatsiz kirishni cheklash uchun mo‘ljallangan apparat-dasturiy kompleks.</w:t>
      </w:r>
    </w:p>
    <w:tbl>
      <w:tblPr>
        <w:tblW w:type="auto" w:w="0"/>
        <w:jc w:val="center"/>
        <w:tblLayout w:type="fixed"/>
        <w:tblLook w:firstColumn="1" w:firstRow="1" w:lastColumn="0" w:lastRow="0" w:noHBand="0" w:noVBand="1" w:val="04A0"/>
      </w:tblPr>
      <w:tblGrid>
        <w:gridCol w:w="4773"/>
        <w:gridCol w:w="4773"/>
      </w:tblGrid>
      <w:tr>
        <w:trPr>
          <w:cantSplit/>
          <w:tblHeader w:val="true"/>
        </w:trPr>
        <w:tc>
          <w:tcPr>
            <w:tcW w:type="dxa" w:w="2376"/>
            <w:vAlign w:val="center"/>
            <w:tcMar>
              <w:top w:w="80" w:type="dxa"/>
              <w:start w:w="110" w:type="dxa"/>
              <w:bottom w:w="80" w:type="dxa"/>
              <w:end w:w="110" w:type="dxa"/>
            </w:tcMar>
            <w:shd w:fill="17365D"/>
          </w:tcPr>
          <w:p>
            <w:pPr>
              <w:spacing w:after="0" w:line="240" w:lineRule="auto"/>
            </w:pPr>
            <w:r/>
            <w:r>
              <w:rPr>
                <w:rFonts w:ascii="Aptos" w:hAnsi="Aptos"/>
                <w:b/>
                <w:color w:val="FFFFFF"/>
                <w:sz w:val="18"/>
              </w:rPr>
              <w:t>Asosiy tamoyil</w:t>
            </w:r>
          </w:p>
        </w:tc>
        <w:tc>
          <w:tcPr>
            <w:tcW w:type="dxa" w:w="6912"/>
            <w:vAlign w:val="center"/>
            <w:tcMar>
              <w:top w:w="80" w:type="dxa"/>
              <w:start w:w="110" w:type="dxa"/>
              <w:bottom w:w="80" w:type="dxa"/>
              <w:end w:w="110" w:type="dxa"/>
            </w:tcMar>
            <w:shd w:fill="17365D"/>
          </w:tcPr>
          <w:p>
            <w:pPr>
              <w:spacing w:after="0" w:line="240" w:lineRule="auto"/>
            </w:pPr>
            <w:r/>
            <w:r>
              <w:rPr>
                <w:rFonts w:ascii="Aptos" w:hAnsi="Aptos"/>
                <w:b/>
                <w:color w:val="FFFFFF"/>
                <w:sz w:val="18"/>
              </w:rPr>
              <w:t>Mazmuni</w:t>
            </w:r>
          </w:p>
        </w:tc>
      </w:tr>
      <w:tr>
        <w:trPr>
          <w:cantSplit/>
        </w:trPr>
        <w:tc>
          <w:tcPr>
            <w:tcW w:type="dxa" w:w="237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Bir xodim — bir shkaf</w:t>
            </w:r>
          </w:p>
        </w:tc>
        <w:tc>
          <w:tcPr>
            <w:tcW w:type="dxa" w:w="691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Har bir shkaf faqat rasmiy vakolat berilgan bitta xodim profiliga biriktiriladi.</w:t>
            </w:r>
          </w:p>
        </w:tc>
      </w:tr>
      <w:tr>
        <w:trPr>
          <w:cantSplit/>
        </w:trPr>
        <w:tc>
          <w:tcPr>
            <w:tcW w:type="dxa" w:w="237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Individual hisob</w:t>
            </w:r>
          </w:p>
        </w:tc>
        <w:tc>
          <w:tcPr>
            <w:tcW w:type="dxa" w:w="691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Qurol, magazin, o‘q-dori va jihoz inventar yoki seriya raqami bilan qayd qilinadi.</w:t>
            </w:r>
          </w:p>
        </w:tc>
      </w:tr>
      <w:tr>
        <w:trPr>
          <w:cantSplit/>
        </w:trPr>
        <w:tc>
          <w:tcPr>
            <w:tcW w:type="dxa" w:w="237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Ikki bosqichli tasdiqlash</w:t>
            </w:r>
          </w:p>
        </w:tc>
        <w:tc>
          <w:tcPr>
            <w:tcW w:type="dxa" w:w="691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Xizmat kartasi va biometrika/PIN orqali shaxs hamda vakolat tekshiriladi.</w:t>
            </w:r>
          </w:p>
        </w:tc>
      </w:tr>
      <w:tr>
        <w:trPr>
          <w:cantSplit/>
        </w:trPr>
        <w:tc>
          <w:tcPr>
            <w:tcW w:type="dxa" w:w="237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Offline ishlash</w:t>
            </w:r>
          </w:p>
        </w:tc>
        <w:tc>
          <w:tcPr>
            <w:tcW w:type="dxa" w:w="691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Markaziy tarmoq uzilganda mahalliy ruxsatlar va jurnal ishlashda davom etadi.</w:t>
            </w:r>
          </w:p>
        </w:tc>
      </w:tr>
      <w:tr>
        <w:trPr>
          <w:cantSplit/>
        </w:trPr>
        <w:tc>
          <w:tcPr>
            <w:tcW w:type="dxa" w:w="237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To‘liq audit</w:t>
            </w:r>
          </w:p>
        </w:tc>
        <w:tc>
          <w:tcPr>
            <w:tcW w:type="dxa" w:w="691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Har bir ochish, olish, qaytarish, rad etish va favqulodda operatsiya qayd etiladi.</w:t>
            </w:r>
          </w:p>
        </w:tc>
      </w:tr>
    </w:tbl>
    <w:p>
      <w:pPr>
        <w:spacing w:after="20"/>
      </w:pPr>
    </w:p>
    <w:p>
      <w:r>
        <w:br w:type="page"/>
      </w:r>
    </w:p>
    <w:p>
      <w:pPr>
        <w:pStyle w:val="Title"/>
      </w:pPr>
      <w:r>
        <w:t>1. Shkaf o‘lchamlari va standartlari</w:t>
      </w:r>
    </w:p>
    <w:p>
      <w:pPr>
        <w:pStyle w:val="Heading1"/>
      </w:pPr>
      <w:r>
        <w:t>1.1. Tavsiya etiladigan yakuniy o‘lchamlar</w:t>
      </w:r>
    </w:p>
    <w:tbl>
      <w:tblPr>
        <w:tblW w:type="auto" w:w="0"/>
        <w:jc w:val="center"/>
        <w:tblLayout w:type="fixed"/>
        <w:tblLook w:firstColumn="1" w:firstRow="1" w:lastColumn="0" w:lastRow="0" w:noHBand="0" w:noVBand="1" w:val="04A0"/>
      </w:tblPr>
      <w:tblGrid>
        <w:gridCol w:w="4773"/>
        <w:gridCol w:w="4773"/>
      </w:tblGrid>
      <w:tr>
        <w:trPr>
          <w:cantSplit/>
          <w:tblHeader w:val="true"/>
        </w:trPr>
        <w:tc>
          <w:tcPr>
            <w:tcW w:type="dxa" w:w="3600"/>
            <w:vAlign w:val="center"/>
            <w:tcMar>
              <w:top w:w="80" w:type="dxa"/>
              <w:start w:w="110" w:type="dxa"/>
              <w:bottom w:w="80" w:type="dxa"/>
              <w:end w:w="110" w:type="dxa"/>
            </w:tcMar>
            <w:shd w:fill="17365D"/>
          </w:tcPr>
          <w:p>
            <w:pPr>
              <w:spacing w:after="0" w:line="240" w:lineRule="auto"/>
            </w:pPr>
            <w:r/>
            <w:r>
              <w:rPr>
                <w:rFonts w:ascii="Aptos" w:hAnsi="Aptos"/>
                <w:b/>
                <w:color w:val="FFFFFF"/>
                <w:sz w:val="18"/>
              </w:rPr>
              <w:t>Ko‘rsatkich</w:t>
            </w:r>
          </w:p>
        </w:tc>
        <w:tc>
          <w:tcPr>
            <w:tcW w:type="dxa" w:w="5688"/>
            <w:vAlign w:val="center"/>
            <w:tcMar>
              <w:top w:w="80" w:type="dxa"/>
              <w:start w:w="110" w:type="dxa"/>
              <w:bottom w:w="80" w:type="dxa"/>
              <w:end w:w="110" w:type="dxa"/>
            </w:tcMar>
            <w:shd w:fill="17365D"/>
          </w:tcPr>
          <w:p>
            <w:pPr>
              <w:spacing w:after="0" w:line="240" w:lineRule="auto"/>
            </w:pPr>
            <w:r/>
            <w:r>
              <w:rPr>
                <w:rFonts w:ascii="Aptos" w:hAnsi="Aptos"/>
                <w:b/>
                <w:color w:val="FFFFFF"/>
                <w:sz w:val="18"/>
              </w:rPr>
              <w:t>Tavsiya etiladigan qiymat</w:t>
            </w:r>
          </w:p>
        </w:tc>
      </w:tr>
      <w:tr>
        <w:trPr>
          <w:cantSplit/>
        </w:trPr>
        <w:tc>
          <w:tcPr>
            <w:tcW w:type="dxa" w:w="36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Balandlik</w:t>
            </w:r>
          </w:p>
        </w:tc>
        <w:tc>
          <w:tcPr>
            <w:tcW w:type="dxa" w:w="568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2000 mm</w:t>
            </w:r>
          </w:p>
        </w:tc>
      </w:tr>
      <w:tr>
        <w:trPr>
          <w:cantSplit/>
        </w:trPr>
        <w:tc>
          <w:tcPr>
            <w:tcW w:type="dxa" w:w="360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Kenglik</w:t>
            </w:r>
          </w:p>
        </w:tc>
        <w:tc>
          <w:tcPr>
            <w:tcW w:type="dxa" w:w="5688"/>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400 mm</w:t>
            </w:r>
          </w:p>
        </w:tc>
      </w:tr>
      <w:tr>
        <w:trPr>
          <w:cantSplit/>
        </w:trPr>
        <w:tc>
          <w:tcPr>
            <w:tcW w:type="dxa" w:w="36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Chuqurlik</w:t>
            </w:r>
          </w:p>
        </w:tc>
        <w:tc>
          <w:tcPr>
            <w:tcW w:type="dxa" w:w="568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600 mm</w:t>
            </w:r>
          </w:p>
        </w:tc>
      </w:tr>
      <w:tr>
        <w:trPr>
          <w:cantSplit/>
        </w:trPr>
        <w:tc>
          <w:tcPr>
            <w:tcW w:type="dxa" w:w="360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Ichki foydali kenglik</w:t>
            </w:r>
          </w:p>
        </w:tc>
        <w:tc>
          <w:tcPr>
            <w:tcW w:type="dxa" w:w="5688"/>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taxminan 350–360 mm</w:t>
            </w:r>
          </w:p>
        </w:tc>
      </w:tr>
      <w:tr>
        <w:trPr>
          <w:cantSplit/>
        </w:trPr>
        <w:tc>
          <w:tcPr>
            <w:tcW w:type="dxa" w:w="36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Ichki foydali chuqurlik</w:t>
            </w:r>
          </w:p>
        </w:tc>
        <w:tc>
          <w:tcPr>
            <w:tcW w:type="dxa" w:w="568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taxminan 540–560 mm</w:t>
            </w:r>
          </w:p>
        </w:tc>
      </w:tr>
      <w:tr>
        <w:trPr>
          <w:cantSplit/>
        </w:trPr>
        <w:tc>
          <w:tcPr>
            <w:tcW w:type="dxa" w:w="360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Elektronika moduli</w:t>
            </w:r>
          </w:p>
        </w:tc>
        <w:tc>
          <w:tcPr>
            <w:tcW w:type="dxa" w:w="5688"/>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alohida 150–200 mm</w:t>
            </w:r>
          </w:p>
        </w:tc>
      </w:tr>
      <w:tr>
        <w:trPr>
          <w:cantSplit/>
        </w:trPr>
        <w:tc>
          <w:tcPr>
            <w:tcW w:type="dxa" w:w="36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Modul bilan umumiy kenglik</w:t>
            </w:r>
          </w:p>
        </w:tc>
        <w:tc>
          <w:tcPr>
            <w:tcW w:type="dxa" w:w="568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550–600 mm</w:t>
            </w:r>
          </w:p>
        </w:tc>
      </w:tr>
    </w:tbl>
    <w:p>
      <w:pPr>
        <w:spacing w:after="20"/>
      </w:pPr>
    </w:p>
    <w:tbl>
      <w:tblPr>
        <w:tblW w:type="auto" w:w="0"/>
        <w:tblLayout w:type="fixed"/>
        <w:tblLook w:firstColumn="1" w:firstRow="1" w:lastColumn="0" w:lastRow="0" w:noHBand="0" w:noVBand="1" w:val="04A0"/>
      </w:tblPr>
      <w:tblGrid>
        <w:gridCol w:w="9288"/>
      </w:tblGrid>
      <w:tr>
        <w:trPr>
          <w:cantSplit/>
          <w:tblHeader w:val="true"/>
        </w:trPr>
        <w:tc>
          <w:tcPr>
            <w:tcW w:type="dxa" w:w="9547"/>
            <w:shd w:fill="DDEBF7"/>
            <w:tcMar>
              <w:top w:w="150" w:type="dxa"/>
              <w:start w:w="180" w:type="dxa"/>
              <w:bottom w:w="150" w:type="dxa"/>
              <w:end w:w="180" w:type="dxa"/>
            </w:tcMar>
          </w:tcPr>
          <w:p>
            <w:pPr>
              <w:spacing w:after="80"/>
            </w:pPr>
            <w:r/>
            <w:r>
              <w:rPr>
                <w:b/>
                <w:color w:val="2E75B6"/>
                <w:sz w:val="18"/>
              </w:rPr>
              <w:t>QABUL QILINGAN GABARIT</w:t>
            </w:r>
          </w:p>
          <w:p>
            <w:pPr>
              <w:spacing w:after="0" w:line="259" w:lineRule="auto"/>
            </w:pPr>
            <w:r>
              <w:t>Texnik hujjatlarda qurol shkafi 2000 × 400 × 600 mm, elektronika moduli bilan to‘liq kompleks esa 2000 × 600 × 600 mm sifatida ajratib ko‘rsatiladi.</w:t>
            </w:r>
          </w:p>
        </w:tc>
      </w:tr>
    </w:tbl>
    <w:p>
      <w:pPr>
        <w:spacing w:after="20"/>
      </w:pPr>
    </w:p>
    <w:p>
      <w:r>
        <w:t>Oldingi 2056 × 400 × 646 mm o‘lcham mavjud SOLIDWORKS modelidan kelib chiqqan. Yangi mahsulot uchun 2000 × 400 × 600 mm gabarit ishlab chiqarish, joylashtirish va modullashtirish nuqtayi nazaridan qulayroq.</w:t>
      </w:r>
    </w:p>
    <w:p>
      <w:pPr>
        <w:pStyle w:val="Heading1"/>
      </w:pPr>
      <w:r>
        <w:t>1.2. Ichki funksional zonalar</w:t>
      </w:r>
    </w:p>
    <w:tbl>
      <w:tblPr>
        <w:tblW w:type="auto" w:w="0"/>
        <w:jc w:val="center"/>
        <w:tblLayout w:type="fixed"/>
        <w:tblLook w:firstColumn="1" w:firstRow="1" w:lastColumn="0" w:lastRow="0" w:noHBand="0" w:noVBand="1" w:val="04A0"/>
      </w:tblPr>
      <w:tblGrid>
        <w:gridCol w:w="3182"/>
        <w:gridCol w:w="3182"/>
        <w:gridCol w:w="3182"/>
      </w:tblGrid>
      <w:tr>
        <w:trPr>
          <w:cantSplit/>
          <w:tblHeader w:val="true"/>
        </w:trPr>
        <w:tc>
          <w:tcPr>
            <w:tcW w:type="dxa" w:w="1800"/>
            <w:vAlign w:val="center"/>
            <w:tcMar>
              <w:top w:w="80" w:type="dxa"/>
              <w:start w:w="110" w:type="dxa"/>
              <w:bottom w:w="80" w:type="dxa"/>
              <w:end w:w="110" w:type="dxa"/>
            </w:tcMar>
            <w:shd w:fill="17365D"/>
          </w:tcPr>
          <w:p>
            <w:pPr>
              <w:spacing w:after="0" w:line="240" w:lineRule="auto"/>
            </w:pPr>
            <w:r/>
            <w:r>
              <w:rPr>
                <w:rFonts w:ascii="Aptos" w:hAnsi="Aptos"/>
                <w:b/>
                <w:color w:val="FFFFFF"/>
                <w:sz w:val="18"/>
              </w:rPr>
              <w:t>Zona</w:t>
            </w:r>
          </w:p>
        </w:tc>
        <w:tc>
          <w:tcPr>
            <w:tcW w:type="dxa" w:w="2232"/>
            <w:vAlign w:val="center"/>
            <w:tcMar>
              <w:top w:w="80" w:type="dxa"/>
              <w:start w:w="110" w:type="dxa"/>
              <w:bottom w:w="80" w:type="dxa"/>
              <w:end w:w="110" w:type="dxa"/>
            </w:tcMar>
            <w:shd w:fill="17365D"/>
          </w:tcPr>
          <w:p>
            <w:pPr>
              <w:spacing w:after="0" w:line="240" w:lineRule="auto"/>
            </w:pPr>
            <w:r/>
            <w:r>
              <w:rPr>
                <w:rFonts w:ascii="Aptos" w:hAnsi="Aptos"/>
                <w:b/>
                <w:color w:val="FFFFFF"/>
                <w:sz w:val="18"/>
              </w:rPr>
              <w:t>Balandlik oralig‘i</w:t>
            </w:r>
          </w:p>
        </w:tc>
        <w:tc>
          <w:tcPr>
            <w:tcW w:type="dxa" w:w="5256"/>
            <w:vAlign w:val="center"/>
            <w:tcMar>
              <w:top w:w="80" w:type="dxa"/>
              <w:start w:w="110" w:type="dxa"/>
              <w:bottom w:w="80" w:type="dxa"/>
              <w:end w:w="110" w:type="dxa"/>
            </w:tcMar>
            <w:shd w:fill="17365D"/>
          </w:tcPr>
          <w:p>
            <w:pPr>
              <w:spacing w:after="0" w:line="240" w:lineRule="auto"/>
            </w:pPr>
            <w:r/>
            <w:r>
              <w:rPr>
                <w:rFonts w:ascii="Aptos" w:hAnsi="Aptos"/>
                <w:b/>
                <w:color w:val="FFFFFF"/>
                <w:sz w:val="18"/>
              </w:rPr>
              <w:t>Vazifasi</w:t>
            </w:r>
          </w:p>
        </w:tc>
      </w:tr>
      <w:tr>
        <w:trPr>
          <w:cantSplit/>
        </w:trPr>
        <w:tc>
          <w:tcPr>
            <w:tcW w:type="dxa" w:w="18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Pastki zona</w:t>
            </w:r>
          </w:p>
        </w:tc>
        <w:tc>
          <w:tcPr>
            <w:tcW w:type="dxa" w:w="223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0–1150 mm</w:t>
            </w:r>
          </w:p>
        </w:tc>
        <w:tc>
          <w:tcPr>
            <w:tcW w:type="dxa" w:w="52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AK-74 va taktik sumka</w:t>
            </w:r>
          </w:p>
        </w:tc>
      </w:tr>
      <w:tr>
        <w:trPr>
          <w:cantSplit/>
        </w:trPr>
        <w:tc>
          <w:tcPr>
            <w:tcW w:type="dxa" w:w="180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O‘rta zona</w:t>
            </w:r>
          </w:p>
        </w:tc>
        <w:tc>
          <w:tcPr>
            <w:tcW w:type="dxa" w:w="223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1150–1450 mm</w:t>
            </w:r>
          </w:p>
        </w:tc>
        <w:tc>
          <w:tcPr>
            <w:tcW w:type="dxa" w:w="525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O‘q-dori qutisi yoki bronjilet</w:t>
            </w:r>
          </w:p>
        </w:tc>
      </w:tr>
      <w:tr>
        <w:trPr>
          <w:cantSplit/>
        </w:trPr>
        <w:tc>
          <w:tcPr>
            <w:tcW w:type="dxa" w:w="18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Yuqori-o‘rta zona</w:t>
            </w:r>
          </w:p>
        </w:tc>
        <w:tc>
          <w:tcPr>
            <w:tcW w:type="dxa" w:w="223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1450–1700 mm</w:t>
            </w:r>
          </w:p>
        </w:tc>
        <w:tc>
          <w:tcPr>
            <w:tcW w:type="dxa" w:w="52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PM, magazinlar, kishan va kichik jihozlar</w:t>
            </w:r>
          </w:p>
        </w:tc>
      </w:tr>
      <w:tr>
        <w:trPr>
          <w:cantSplit/>
        </w:trPr>
        <w:tc>
          <w:tcPr>
            <w:tcW w:type="dxa" w:w="180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Yuqori zona</w:t>
            </w:r>
          </w:p>
        </w:tc>
        <w:tc>
          <w:tcPr>
            <w:tcW w:type="dxa" w:w="223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1700–1950 mm</w:t>
            </w:r>
          </w:p>
        </w:tc>
        <w:tc>
          <w:tcPr>
            <w:tcW w:type="dxa" w:w="525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Dubulg‘a va gaz niqobi</w:t>
            </w:r>
          </w:p>
        </w:tc>
      </w:tr>
      <w:tr>
        <w:trPr>
          <w:cantSplit/>
        </w:trPr>
        <w:tc>
          <w:tcPr>
            <w:tcW w:type="dxa" w:w="18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Texnik bo‘shliq</w:t>
            </w:r>
          </w:p>
        </w:tc>
        <w:tc>
          <w:tcPr>
            <w:tcW w:type="dxa" w:w="223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1950–2000 mm</w:t>
            </w:r>
          </w:p>
        </w:tc>
        <w:tc>
          <w:tcPr>
            <w:tcW w:type="dxa" w:w="52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Kabel, LED va datchiklar</w:t>
            </w:r>
          </w:p>
        </w:tc>
      </w:tr>
    </w:tbl>
    <w:p>
      <w:pPr>
        <w:spacing w:after="20"/>
      </w:pPr>
    </w:p>
    <w:p>
      <w:r>
        <w:t>Tokchalar va ushlagichlar yechiladigan yoki balandligi o‘zgartiriladigan qilinadi. Bu turli lavozim va komplektatsiyadagi xodimlar uchun bitta bazaviy korpusdan foydalanishga imkon beradi.</w:t>
      </w:r>
    </w:p>
    <w:p>
      <w:pPr>
        <w:pStyle w:val="Heading1"/>
      </w:pPr>
      <w:r>
        <w:t>1.3. O‘zbekiston qonunchiligidagi bazaviy talab</w:t>
      </w:r>
    </w:p>
    <w:p>
      <w:r>
        <w:t>O‘zbekiston Respublikasining “Qurol to‘g‘risida”gi O‘RQ-550-son Qonuniga ko‘ra, fuqaroviy va xizmat quroli begona shaxslar kirishini istisno qiladigan, but saqlanishi va xavfsizligini ta’minlaydigan sharoitda, qulflanadigan seyf yoki metall shkafda saqlanishi kerak. Yuridik shaxslarda bunday qurol maxsus jihozlangan va texnik mustahkamlangan qurolxona ichida, qo‘riqlash-yong‘in signalizatsiyasi va boshqa himoya vositalari bilan saqlanadi.</w:t>
      </w:r>
    </w:p>
    <w:p>
      <w:pPr>
        <w:pStyle w:val="ListBullet"/>
        <w:spacing w:after="60"/>
      </w:pPr>
      <w:r>
        <w:t>Qurolxona va saqlash joyi ruxsat berish jarayonida ko‘rsatiladi.</w:t>
      </w:r>
    </w:p>
    <w:p>
      <w:pPr>
        <w:pStyle w:val="ListBullet"/>
        <w:spacing w:after="60"/>
      </w:pPr>
      <w:r>
        <w:t>Qurol va o‘q-dorining saqlanishi, berilishi, qabul qilinishi va hisobi uchun mas’ul shaxs tayinlanadi.</w:t>
      </w:r>
    </w:p>
    <w:p>
      <w:pPr>
        <w:pStyle w:val="ListBullet"/>
        <w:spacing w:after="60"/>
      </w:pPr>
      <w:r>
        <w:t>Metall shkaf Smart tizim bo‘lsa ham, qurolxona, jismoniy qo‘riqlash va signalizatsiya talablarini almashtirmaydi.</w:t>
      </w:r>
    </w:p>
    <w:p>
      <w:pPr>
        <w:pStyle w:val="Heading1"/>
      </w:pPr>
      <w:r>
        <w:t>1.4. Konstruksiya uchun boshlang‘ich talablar</w:t>
      </w:r>
    </w:p>
    <w:p>
      <w:pPr>
        <w:pStyle w:val="ListBullet"/>
        <w:spacing w:after="60"/>
      </w:pPr>
      <w:r>
        <w:t>Korpus: kamida 2 mm po‘lat; yakuniy qalinlik sinov va kelishuv asosida belgilanadi.</w:t>
      </w:r>
    </w:p>
    <w:p>
      <w:pPr>
        <w:pStyle w:val="ListBullet"/>
        <w:spacing w:after="60"/>
      </w:pPr>
      <w:r>
        <w:t>Eshik ramkasi va qulf zonasi: 3 mm po‘lat yoki qo‘shimcha kuchaytirgich.</w:t>
      </w:r>
    </w:p>
    <w:p>
      <w:pPr>
        <w:pStyle w:val="ListBullet"/>
        <w:spacing w:after="60"/>
      </w:pPr>
      <w:r>
        <w:t>Bitta tashqi eshik; elektron qulf va favqulodda mexanik qulf.</w:t>
      </w:r>
    </w:p>
    <w:p>
      <w:pPr>
        <w:pStyle w:val="ListBullet"/>
        <w:spacing w:after="60"/>
      </w:pPr>
      <w:r>
        <w:t>Tashqaridan yechilmaydigan yoki himoyalangan oshiq-moshiqlar.</w:t>
      </w:r>
    </w:p>
    <w:p>
      <w:pPr>
        <w:pStyle w:val="ListBullet"/>
        <w:spacing w:after="60"/>
      </w:pPr>
      <w:r>
        <w:t>Eshik holati, urilish va buzishga urinish datchiklari.</w:t>
      </w:r>
    </w:p>
    <w:p>
      <w:pPr>
        <w:pStyle w:val="ListBullet"/>
        <w:spacing w:after="60"/>
      </w:pPr>
      <w:r>
        <w:t>Polga kamida 2 ta M12 anker; devorga M8–M10 qo‘shimcha mahkamlash.</w:t>
      </w:r>
    </w:p>
    <w:p>
      <w:pPr>
        <w:pStyle w:val="ListBullet"/>
        <w:spacing w:after="60"/>
      </w:pPr>
      <w:r>
        <w:t>Elektr uzilganda zaxira quvvat; mexanik kalit ishlatilishi alohida qayd qilinadi.</w:t>
      </w:r>
    </w:p>
    <w:p>
      <w:pPr>
        <w:pStyle w:val="ListBullet"/>
        <w:spacing w:after="60"/>
      </w:pPr>
      <w:r>
        <w:t>Qurol va o‘q-dori holati mustaqil nazorat qilinadi.</w:t>
      </w:r>
    </w:p>
    <w:p>
      <w:pPr>
        <w:pStyle w:val="Heading1"/>
      </w:pPr>
      <w:r>
        <w:t>1.5. Xalqaro standartlar</w:t>
      </w:r>
    </w:p>
    <w:tbl>
      <w:tblPr>
        <w:tblW w:type="auto" w:w="0"/>
        <w:jc w:val="center"/>
        <w:tblLayout w:type="fixed"/>
        <w:tblLook w:firstColumn="1" w:firstRow="1" w:lastColumn="0" w:lastRow="0" w:noHBand="0" w:noVBand="1" w:val="04A0"/>
      </w:tblPr>
      <w:tblGrid>
        <w:gridCol w:w="4773"/>
        <w:gridCol w:w="4773"/>
      </w:tblGrid>
      <w:tr>
        <w:trPr>
          <w:cantSplit/>
          <w:tblHeader w:val="true"/>
        </w:trPr>
        <w:tc>
          <w:tcPr>
            <w:tcW w:type="dxa" w:w="3096"/>
            <w:vAlign w:val="center"/>
            <w:tcMar>
              <w:top w:w="80" w:type="dxa"/>
              <w:start w:w="110" w:type="dxa"/>
              <w:bottom w:w="80" w:type="dxa"/>
              <w:end w:w="110" w:type="dxa"/>
            </w:tcMar>
            <w:shd w:fill="17365D"/>
          </w:tcPr>
          <w:p>
            <w:pPr>
              <w:spacing w:after="0" w:line="240" w:lineRule="auto"/>
            </w:pPr>
            <w:r/>
            <w:r>
              <w:rPr>
                <w:rFonts w:ascii="Aptos" w:hAnsi="Aptos"/>
                <w:b/>
                <w:color w:val="FFFFFF"/>
                <w:sz w:val="18"/>
              </w:rPr>
              <w:t>Standart</w:t>
            </w:r>
          </w:p>
        </w:tc>
        <w:tc>
          <w:tcPr>
            <w:tcW w:type="dxa" w:w="6192"/>
            <w:vAlign w:val="center"/>
            <w:tcMar>
              <w:top w:w="80" w:type="dxa"/>
              <w:start w:w="110" w:type="dxa"/>
              <w:bottom w:w="80" w:type="dxa"/>
              <w:end w:w="110" w:type="dxa"/>
            </w:tcMar>
            <w:shd w:fill="17365D"/>
          </w:tcPr>
          <w:p>
            <w:pPr>
              <w:spacing w:after="0" w:line="240" w:lineRule="auto"/>
            </w:pPr>
            <w:r/>
            <w:r>
              <w:rPr>
                <w:rFonts w:ascii="Aptos" w:hAnsi="Aptos"/>
                <w:b/>
                <w:color w:val="FFFFFF"/>
                <w:sz w:val="18"/>
              </w:rPr>
              <w:t>Loyihadagi vazifasi</w:t>
            </w:r>
          </w:p>
        </w:tc>
      </w:tr>
      <w:tr>
        <w:trPr>
          <w:cantSplit/>
        </w:trPr>
        <w:tc>
          <w:tcPr>
            <w:tcW w:type="dxa" w:w="30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EN 14450:2017+A1:2023</w:t>
            </w:r>
          </w:p>
        </w:tc>
        <w:tc>
          <w:tcPr>
            <w:tcW w:type="dxa" w:w="61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Himoyalangan metall shkaflarning buzib kirishga qarshiligi, S1/S2 tasnifi va sinovlari.</w:t>
            </w:r>
          </w:p>
        </w:tc>
      </w:tr>
      <w:tr>
        <w:trPr>
          <w:cantSplit/>
        </w:trPr>
        <w:tc>
          <w:tcPr>
            <w:tcW w:type="dxa" w:w="30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EN 1143-1</w:t>
            </w:r>
          </w:p>
        </w:tc>
        <w:tc>
          <w:tcPr>
            <w:tcW w:type="dxa" w:w="61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Yuqori darajadagi seyflar va mustahkam saqlash vositalari.</w:t>
            </w:r>
          </w:p>
        </w:tc>
      </w:tr>
      <w:tr>
        <w:trPr>
          <w:cantSplit/>
        </w:trPr>
        <w:tc>
          <w:tcPr>
            <w:tcW w:type="dxa" w:w="30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EN 1300</w:t>
            </w:r>
          </w:p>
        </w:tc>
        <w:tc>
          <w:tcPr>
            <w:tcW w:type="dxa" w:w="61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Yuqori xavfsizlikdagi qulflar.</w:t>
            </w:r>
          </w:p>
        </w:tc>
      </w:tr>
      <w:tr>
        <w:trPr>
          <w:cantSplit/>
        </w:trPr>
        <w:tc>
          <w:tcPr>
            <w:tcW w:type="dxa" w:w="30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IEC 60529</w:t>
            </w:r>
          </w:p>
        </w:tc>
        <w:tc>
          <w:tcPr>
            <w:tcW w:type="dxa" w:w="61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Elektronika korpusining IP himoya darajasi.</w:t>
            </w:r>
          </w:p>
        </w:tc>
      </w:tr>
      <w:tr>
        <w:trPr>
          <w:cantSplit/>
        </w:trPr>
        <w:tc>
          <w:tcPr>
            <w:tcW w:type="dxa" w:w="30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EN 356</w:t>
            </w:r>
          </w:p>
        </w:tc>
        <w:tc>
          <w:tcPr>
            <w:tcW w:type="dxa" w:w="61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Himoya oynasining zarbaga chidamliligi.</w:t>
            </w:r>
          </w:p>
        </w:tc>
      </w:tr>
      <w:tr>
        <w:trPr>
          <w:cantSplit/>
        </w:trPr>
        <w:tc>
          <w:tcPr>
            <w:tcW w:type="dxa" w:w="30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EN 12600</w:t>
            </w:r>
          </w:p>
        </w:tc>
        <w:tc>
          <w:tcPr>
            <w:tcW w:type="dxa" w:w="61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Shishaning xavfsiz sinishi va zarba sinovi.</w:t>
            </w:r>
          </w:p>
        </w:tc>
      </w:tr>
    </w:tbl>
    <w:p>
      <w:pPr>
        <w:spacing w:after="20"/>
      </w:pPr>
    </w:p>
    <w:tbl>
      <w:tblPr>
        <w:tblW w:type="auto" w:w="0"/>
        <w:tblLayout w:type="fixed"/>
        <w:tblLook w:firstColumn="1" w:firstRow="1" w:lastColumn="0" w:lastRow="0" w:noHBand="0" w:noVBand="1" w:val="04A0"/>
      </w:tblPr>
      <w:tblGrid>
        <w:gridCol w:w="9288"/>
      </w:tblGrid>
      <w:tr>
        <w:trPr>
          <w:cantSplit/>
          <w:tblHeader w:val="true"/>
        </w:trPr>
        <w:tc>
          <w:tcPr>
            <w:tcW w:type="dxa" w:w="9547"/>
            <w:shd w:fill="FFF2CC"/>
            <w:tcMar>
              <w:top w:w="150" w:type="dxa"/>
              <w:start w:w="180" w:type="dxa"/>
              <w:bottom w:w="150" w:type="dxa"/>
              <w:end w:w="180" w:type="dxa"/>
            </w:tcMar>
          </w:tcPr>
          <w:p>
            <w:pPr>
              <w:spacing w:after="80"/>
            </w:pPr>
            <w:r/>
            <w:r>
              <w:rPr>
                <w:b/>
                <w:color w:val="2E75B6"/>
                <w:sz w:val="18"/>
              </w:rPr>
              <w:t>OYNALI ESHIK BO‘YICHA XAVF</w:t>
            </w:r>
          </w:p>
          <w:p>
            <w:pPr>
              <w:spacing w:after="0" w:line="259" w:lineRule="auto"/>
            </w:pPr>
            <w:r>
              <w:t>Qonunda “seyf yoki metall shkaf” talabi bor. To‘liq oynali tashqi eshik sertifikatlash va IIV bilan kelishishda muammo tug‘dirishi mumkin. Eng xavfsiz variant — metall tashqi eshik va ichki holatni kamera/ekranda ko‘rsatish. Oyna majburiy bo‘lsa, sertifikatlangan himoya paketi va aynan yakuniy konstruksiya bo‘yicha sinov talab qilinadi.</w:t>
            </w:r>
          </w:p>
        </w:tc>
      </w:tr>
    </w:tbl>
    <w:p>
      <w:pPr>
        <w:spacing w:after="20"/>
      </w:pPr>
    </w:p>
    <w:p>
      <w:r>
        <w:br w:type="page"/>
      </w:r>
    </w:p>
    <w:p>
      <w:pPr>
        <w:pStyle w:val="Title"/>
      </w:pPr>
      <w:r>
        <w:t>2. Kimga mo‘ljallangan va foydalanish vakolatlari</w:t>
      </w:r>
    </w:p>
    <w:p>
      <w:pPr>
        <w:pStyle w:val="Heading1"/>
      </w:pPr>
      <w:r>
        <w:t>2.1. Asosiy buyurtmachi va qo‘llanish sohasi</w:t>
      </w:r>
    </w:p>
    <w:p>
      <w:r>
        <w:t>Loyihaning birinchi maqsadli buyurtmachisi — O‘zbekiston Respublikasi Ichki ishlar vazirligi va uning qurol saqlanadigan hududiy hamda funksional bo‘linmalari.</w:t>
      </w:r>
    </w:p>
    <w:p>
      <w:pPr>
        <w:pStyle w:val="ListBullet"/>
        <w:spacing w:after="60"/>
      </w:pPr>
      <w:r>
        <w:t>tuman va shahar ichki ishlar bo‘limlari;</w:t>
      </w:r>
    </w:p>
    <w:p>
      <w:pPr>
        <w:pStyle w:val="ListBullet"/>
        <w:spacing w:after="60"/>
      </w:pPr>
      <w:r>
        <w:t>patrul-post xizmati;</w:t>
      </w:r>
    </w:p>
    <w:p>
      <w:pPr>
        <w:pStyle w:val="ListBullet"/>
        <w:spacing w:after="60"/>
      </w:pPr>
      <w:r>
        <w:t>qo‘riqlash va tezkor bo‘linmalar;</w:t>
      </w:r>
    </w:p>
    <w:p>
      <w:pPr>
        <w:pStyle w:val="ListBullet"/>
        <w:spacing w:after="60"/>
      </w:pPr>
      <w:r>
        <w:t>maxsus operatsion bo‘linmalar;</w:t>
      </w:r>
    </w:p>
    <w:p>
      <w:pPr>
        <w:pStyle w:val="ListBullet"/>
        <w:spacing w:after="60"/>
      </w:pPr>
      <w:r>
        <w:t>qurol saqlanadigan navbatchilik qismlari;</w:t>
      </w:r>
    </w:p>
    <w:p>
      <w:pPr>
        <w:pStyle w:val="ListBullet"/>
        <w:spacing w:after="60"/>
      </w:pPr>
      <w:r>
        <w:t>o‘quv va tayyorgarlik markazlari.</w:t>
      </w:r>
    </w:p>
    <w:p>
      <w:r>
        <w:t>Keyingi bosqichlarda tizim Milliy gvardiya, bojxona, harbiy qismlar va xizmat qurolidan foydalanishga qonuniy ruxsati mavjud tashkilotlarga moslashtirilishi mumkin.</w:t>
      </w:r>
    </w:p>
    <w:p>
      <w:pPr>
        <w:pStyle w:val="Heading1"/>
      </w:pPr>
      <w:r>
        <w:t>2.2. Kimga individual shkaf biriktiriladi?</w:t>
      </w:r>
    </w:p>
    <w:p>
      <w:r>
        <w:t>Smart shkaf barcha xodimlarga emas, faqat quyidagi shartlarning barchasiga javob beradigan xodimga biriktiriladi:</w:t>
      </w:r>
    </w:p>
    <w:p>
      <w:pPr>
        <w:pStyle w:val="ListBullet"/>
        <w:spacing w:after="60"/>
      </w:pPr>
      <w:r>
        <w:t>xizmat quroli rasmiy biriktirilgan;</w:t>
      </w:r>
    </w:p>
    <w:p>
      <w:pPr>
        <w:pStyle w:val="ListBullet"/>
        <w:spacing w:after="60"/>
      </w:pPr>
      <w:r>
        <w:t>qurolni saqlash va olib yurishga vakolati mavjud;</w:t>
      </w:r>
    </w:p>
    <w:p>
      <w:pPr>
        <w:pStyle w:val="ListBullet"/>
        <w:spacing w:after="60"/>
      </w:pPr>
      <w:r>
        <w:t>maxsus tayyorgarlikdan o‘tgan;</w:t>
      </w:r>
    </w:p>
    <w:p>
      <w:pPr>
        <w:pStyle w:val="ListBullet"/>
        <w:spacing w:after="60"/>
      </w:pPr>
      <w:r>
        <w:t>davriy professional yaroqlilik tekshiruvidan o‘tgan;</w:t>
      </w:r>
    </w:p>
    <w:p>
      <w:pPr>
        <w:pStyle w:val="ListBullet"/>
        <w:spacing w:after="60"/>
      </w:pPr>
      <w:r>
        <w:t>rahbar buyrug‘i bilan qurol olish huquqi berilgan.</w:t>
      </w:r>
    </w:p>
    <w:tbl>
      <w:tblPr>
        <w:tblW w:type="auto" w:w="0"/>
        <w:tblLayout w:type="fixed"/>
        <w:tblLook w:firstColumn="1" w:firstRow="1" w:lastColumn="0" w:lastRow="0" w:noHBand="0" w:noVBand="1" w:val="04A0"/>
      </w:tblPr>
      <w:tblGrid>
        <w:gridCol w:w="9288"/>
      </w:tblGrid>
      <w:tr>
        <w:trPr>
          <w:cantSplit/>
          <w:tblHeader w:val="true"/>
        </w:trPr>
        <w:tc>
          <w:tcPr>
            <w:tcW w:type="dxa" w:w="9547"/>
            <w:shd w:fill="DDEBF7"/>
            <w:tcMar>
              <w:top w:w="150" w:type="dxa"/>
              <w:start w:w="180" w:type="dxa"/>
              <w:bottom w:w="150" w:type="dxa"/>
              <w:end w:w="180" w:type="dxa"/>
            </w:tcMar>
          </w:tcPr>
          <w:p>
            <w:pPr>
              <w:spacing w:after="80"/>
            </w:pPr>
            <w:r/>
            <w:r>
              <w:rPr>
                <w:b/>
                <w:color w:val="2E75B6"/>
                <w:sz w:val="18"/>
              </w:rPr>
              <w:t>HUQUQIY TAMOYIL</w:t>
            </w:r>
          </w:p>
          <w:p>
            <w:pPr>
              <w:spacing w:after="0" w:line="259" w:lineRule="auto"/>
            </w:pPr>
            <w:r>
              <w:t>Xodimga qurol tashkilot rahbarining qarori, tegishli ruxsat va belgilangan tayyorgarlikdan o‘tganidan keyin beriladi. Smart shkaf bu vakolatni yaratmaydi — faqat mavjud vakolatni texnik jihatdan tekshiradi va qayd etadi.</w:t>
            </w:r>
          </w:p>
        </w:tc>
      </w:tr>
    </w:tbl>
    <w:p>
      <w:pPr>
        <w:spacing w:after="20"/>
      </w:pPr>
    </w:p>
    <w:p>
      <w:pPr>
        <w:pStyle w:val="Heading1"/>
      </w:pPr>
      <w:r>
        <w:t>2.3. Biriktirish modeli</w:t>
      </w:r>
    </w:p>
    <w:tbl>
      <w:tblPr>
        <w:tblW w:type="auto" w:w="0"/>
        <w:jc w:val="center"/>
        <w:tblLayout w:type="fixed"/>
        <w:tblLook w:firstColumn="1" w:firstRow="1" w:lastColumn="0" w:lastRow="0" w:noHBand="0" w:noVBand="1" w:val="04A0"/>
      </w:tblPr>
      <w:tblGrid>
        <w:gridCol w:w="4773"/>
        <w:gridCol w:w="4773"/>
      </w:tblGrid>
      <w:tr>
        <w:trPr>
          <w:cantSplit/>
          <w:tblHeader w:val="true"/>
        </w:trPr>
        <w:tc>
          <w:tcPr>
            <w:tcW w:type="dxa" w:w="2880"/>
            <w:vAlign w:val="center"/>
            <w:tcMar>
              <w:top w:w="80" w:type="dxa"/>
              <w:start w:w="110" w:type="dxa"/>
              <w:bottom w:w="80" w:type="dxa"/>
              <w:end w:w="110" w:type="dxa"/>
            </w:tcMar>
            <w:shd w:fill="17365D"/>
          </w:tcPr>
          <w:p>
            <w:pPr>
              <w:spacing w:after="0" w:line="240" w:lineRule="auto"/>
            </w:pPr>
            <w:r/>
            <w:r>
              <w:rPr>
                <w:rFonts w:ascii="Aptos" w:hAnsi="Aptos"/>
                <w:b/>
                <w:color w:val="FFFFFF"/>
                <w:sz w:val="18"/>
              </w:rPr>
              <w:t>Obyekt</w:t>
            </w:r>
          </w:p>
        </w:tc>
        <w:tc>
          <w:tcPr>
            <w:tcW w:type="dxa" w:w="6408"/>
            <w:vAlign w:val="center"/>
            <w:tcMar>
              <w:top w:w="80" w:type="dxa"/>
              <w:start w:w="110" w:type="dxa"/>
              <w:bottom w:w="80" w:type="dxa"/>
              <w:end w:w="110" w:type="dxa"/>
            </w:tcMar>
            <w:shd w:fill="17365D"/>
          </w:tcPr>
          <w:p>
            <w:pPr>
              <w:spacing w:after="0" w:line="240" w:lineRule="auto"/>
            </w:pPr>
            <w:r/>
            <w:r>
              <w:rPr>
                <w:rFonts w:ascii="Aptos" w:hAnsi="Aptos"/>
                <w:b/>
                <w:color w:val="FFFFFF"/>
                <w:sz w:val="18"/>
              </w:rPr>
              <w:t>Biriktirish usuli</w:t>
            </w:r>
          </w:p>
        </w:tc>
      </w:tr>
      <w:tr>
        <w:trPr>
          <w:cantSplit/>
        </w:trPr>
        <w:tc>
          <w:tcPr>
            <w:tcW w:type="dxa" w:w="288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Shkaf</w:t>
            </w:r>
          </w:p>
        </w:tc>
        <w:tc>
          <w:tcPr>
            <w:tcW w:type="dxa" w:w="640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Bitta xodim va bitta xizmat joyiga</w:t>
            </w:r>
          </w:p>
        </w:tc>
      </w:tr>
      <w:tr>
        <w:trPr>
          <w:cantSplit/>
        </w:trPr>
        <w:tc>
          <w:tcPr>
            <w:tcW w:type="dxa" w:w="288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AK-74</w:t>
            </w:r>
          </w:p>
        </w:tc>
        <w:tc>
          <w:tcPr>
            <w:tcW w:type="dxa" w:w="6408"/>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Seriya raqami va RFID identifikatori bilan</w:t>
            </w:r>
          </w:p>
        </w:tc>
      </w:tr>
      <w:tr>
        <w:trPr>
          <w:cantSplit/>
        </w:trPr>
        <w:tc>
          <w:tcPr>
            <w:tcW w:type="dxa" w:w="288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PM</w:t>
            </w:r>
          </w:p>
        </w:tc>
        <w:tc>
          <w:tcPr>
            <w:tcW w:type="dxa" w:w="640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Seriya raqami va RFID identifikatori bilan</w:t>
            </w:r>
          </w:p>
        </w:tc>
      </w:tr>
      <w:tr>
        <w:trPr>
          <w:cantSplit/>
        </w:trPr>
        <w:tc>
          <w:tcPr>
            <w:tcW w:type="dxa" w:w="288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Magazinlar</w:t>
            </w:r>
          </w:p>
        </w:tc>
        <w:tc>
          <w:tcPr>
            <w:tcW w:type="dxa" w:w="6408"/>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Inventar raqami va miqdori bilan</w:t>
            </w:r>
          </w:p>
        </w:tc>
      </w:tr>
      <w:tr>
        <w:trPr>
          <w:cantSplit/>
        </w:trPr>
        <w:tc>
          <w:tcPr>
            <w:tcW w:type="dxa" w:w="288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O‘q-dori</w:t>
            </w:r>
          </w:p>
        </w:tc>
        <w:tc>
          <w:tcPr>
            <w:tcW w:type="dxa" w:w="640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Turi, kalibri, partiyasi va soni bilan</w:t>
            </w:r>
          </w:p>
        </w:tc>
      </w:tr>
      <w:tr>
        <w:trPr>
          <w:cantSplit/>
        </w:trPr>
        <w:tc>
          <w:tcPr>
            <w:tcW w:type="dxa" w:w="288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Dubulg‘a/bronjilet</w:t>
            </w:r>
          </w:p>
        </w:tc>
        <w:tc>
          <w:tcPr>
            <w:tcW w:type="dxa" w:w="6408"/>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Inventar raqami bilan</w:t>
            </w:r>
          </w:p>
        </w:tc>
      </w:tr>
      <w:tr>
        <w:trPr>
          <w:cantSplit/>
        </w:trPr>
        <w:tc>
          <w:tcPr>
            <w:tcW w:type="dxa" w:w="288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Body-kamera</w:t>
            </w:r>
          </w:p>
        </w:tc>
        <w:tc>
          <w:tcPr>
            <w:tcW w:type="dxa" w:w="640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Qurilma seriya raqami bilan</w:t>
            </w:r>
          </w:p>
        </w:tc>
      </w:tr>
      <w:tr>
        <w:trPr>
          <w:cantSplit/>
        </w:trPr>
        <w:tc>
          <w:tcPr>
            <w:tcW w:type="dxa" w:w="288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Kirish huquqi</w:t>
            </w:r>
          </w:p>
        </w:tc>
        <w:tc>
          <w:tcPr>
            <w:tcW w:type="dxa" w:w="6408"/>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Xizmat kartasi + biometrika/PIN + xizmat holati</w:t>
            </w:r>
          </w:p>
        </w:tc>
      </w:tr>
    </w:tbl>
    <w:p>
      <w:pPr>
        <w:spacing w:after="20"/>
      </w:pPr>
    </w:p>
    <w:p>
      <w:r>
        <w:t>Shkaf raqami, xodim tabel raqami va jihoz identifikatorlari yagona elektron profilga bog‘lanadi.</w:t>
      </w:r>
    </w:p>
    <w:p>
      <w:pPr>
        <w:pStyle w:val="Heading1"/>
      </w:pPr>
      <w:r>
        <w:t>2.4. Tizim rollari</w:t>
      </w:r>
    </w:p>
    <w:tbl>
      <w:tblPr>
        <w:tblW w:type="auto" w:w="0"/>
        <w:jc w:val="center"/>
        <w:tblLayout w:type="fixed"/>
        <w:tblLook w:firstColumn="1" w:firstRow="1" w:lastColumn="0" w:lastRow="0" w:noHBand="0" w:noVBand="1" w:val="04A0"/>
      </w:tblPr>
      <w:tblGrid>
        <w:gridCol w:w="4773"/>
        <w:gridCol w:w="4773"/>
      </w:tblGrid>
      <w:tr>
        <w:trPr>
          <w:cantSplit/>
          <w:tblHeader w:val="true"/>
        </w:trPr>
        <w:tc>
          <w:tcPr>
            <w:tcW w:type="dxa" w:w="2448"/>
            <w:vAlign w:val="center"/>
            <w:tcMar>
              <w:top w:w="80" w:type="dxa"/>
              <w:start w:w="110" w:type="dxa"/>
              <w:bottom w:w="80" w:type="dxa"/>
              <w:end w:w="110" w:type="dxa"/>
            </w:tcMar>
            <w:shd w:fill="17365D"/>
          </w:tcPr>
          <w:p>
            <w:pPr>
              <w:spacing w:after="0" w:line="240" w:lineRule="auto"/>
            </w:pPr>
            <w:r/>
            <w:r>
              <w:rPr>
                <w:rFonts w:ascii="Aptos" w:hAnsi="Aptos"/>
                <w:b/>
                <w:color w:val="FFFFFF"/>
                <w:sz w:val="18"/>
              </w:rPr>
              <w:t>Rol</w:t>
            </w:r>
          </w:p>
        </w:tc>
        <w:tc>
          <w:tcPr>
            <w:tcW w:type="dxa" w:w="6840"/>
            <w:vAlign w:val="center"/>
            <w:tcMar>
              <w:top w:w="80" w:type="dxa"/>
              <w:start w:w="110" w:type="dxa"/>
              <w:bottom w:w="80" w:type="dxa"/>
              <w:end w:w="110" w:type="dxa"/>
            </w:tcMar>
            <w:shd w:fill="17365D"/>
          </w:tcPr>
          <w:p>
            <w:pPr>
              <w:spacing w:after="0" w:line="240" w:lineRule="auto"/>
            </w:pPr>
            <w:r/>
            <w:r>
              <w:rPr>
                <w:rFonts w:ascii="Aptos" w:hAnsi="Aptos"/>
                <w:b/>
                <w:color w:val="FFFFFF"/>
                <w:sz w:val="18"/>
              </w:rPr>
              <w:t>Asosiy vakolat</w:t>
            </w:r>
          </w:p>
        </w:tc>
      </w:tr>
      <w:tr>
        <w:trPr>
          <w:cantSplit/>
        </w:trPr>
        <w:tc>
          <w:tcPr>
            <w:tcW w:type="dxa" w:w="244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Oddiy xodim</w:t>
            </w:r>
          </w:p>
        </w:tc>
        <w:tc>
          <w:tcPr>
            <w:tcW w:type="dxa" w:w="684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Faqat o‘ziga biriktirilgan shkaf va ruxsat etilgan jihozlardan foydalanadi.</w:t>
            </w:r>
          </w:p>
        </w:tc>
      </w:tr>
      <w:tr>
        <w:trPr>
          <w:cantSplit/>
        </w:trPr>
        <w:tc>
          <w:tcPr>
            <w:tcW w:type="dxa" w:w="2448"/>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Qurolxona mas’uli</w:t>
            </w:r>
          </w:p>
        </w:tc>
        <w:tc>
          <w:tcPr>
            <w:tcW w:type="dxa" w:w="684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Qurolni qabul qiladi/beradi, inventarni ro‘yxatdan o‘tkazadi, shkafni biriktiradi va bloklaydi.</w:t>
            </w:r>
          </w:p>
        </w:tc>
      </w:tr>
      <w:tr>
        <w:trPr>
          <w:cantSplit/>
        </w:trPr>
        <w:tc>
          <w:tcPr>
            <w:tcW w:type="dxa" w:w="244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Navbatchi yoki komandir</w:t>
            </w:r>
          </w:p>
        </w:tc>
        <w:tc>
          <w:tcPr>
            <w:tcW w:type="dxa" w:w="684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Xizmat ruxsatini tasdiqlaydi, vaqtinchalik vakolat va favqulodda ochishni boshqaradi.</w:t>
            </w:r>
          </w:p>
        </w:tc>
      </w:tr>
      <w:tr>
        <w:trPr>
          <w:cantSplit/>
        </w:trPr>
        <w:tc>
          <w:tcPr>
            <w:tcW w:type="dxa" w:w="2448"/>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Administrator</w:t>
            </w:r>
          </w:p>
        </w:tc>
        <w:tc>
          <w:tcPr>
            <w:tcW w:type="dxa" w:w="684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Foydalanuvchi, tizim va elektronika sozlamalarini boshqaradi; qurol olish vakolati avtomatik berilmaydi.</w:t>
            </w:r>
          </w:p>
        </w:tc>
      </w:tr>
      <w:tr>
        <w:trPr>
          <w:cantSplit/>
        </w:trPr>
        <w:tc>
          <w:tcPr>
            <w:tcW w:type="dxa" w:w="244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Tekshiruvchi/rahbariyat</w:t>
            </w:r>
          </w:p>
        </w:tc>
        <w:tc>
          <w:tcPr>
            <w:tcW w:type="dxa" w:w="684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Jurnal, statistika, kechikish, favqulodda ochish va inventar farqlarini ko‘radi.</w:t>
            </w:r>
          </w:p>
        </w:tc>
      </w:tr>
    </w:tbl>
    <w:p>
      <w:pPr>
        <w:spacing w:after="20"/>
      </w:pPr>
    </w:p>
    <w:p>
      <w:pPr>
        <w:pStyle w:val="Heading1"/>
      </w:pPr>
      <w:r>
        <w:t>2.5. Oddiy ish ssenariysi</w:t>
      </w:r>
    </w:p>
    <w:p>
      <w:pPr>
        <w:pStyle w:val="ListNumber"/>
        <w:spacing w:after="60"/>
      </w:pPr>
      <w:r>
        <w:t>Xodim xizmat kartasi yoki Face ID orqali aniqlanadi.</w:t>
      </w:r>
    </w:p>
    <w:p>
      <w:pPr>
        <w:pStyle w:val="ListNumber"/>
        <w:spacing w:after="60"/>
      </w:pPr>
      <w:r>
        <w:t>Barmoq izi yoki PIN bilan shaxs tasdiqlanadi.</w:t>
      </w:r>
    </w:p>
    <w:p>
      <w:pPr>
        <w:pStyle w:val="ListNumber"/>
        <w:spacing w:after="60"/>
      </w:pPr>
      <w:r>
        <w:t>Tizim xizmat navbati, lavozim va amaldagi ruxsatni tekshiradi.</w:t>
      </w:r>
    </w:p>
    <w:p>
      <w:pPr>
        <w:pStyle w:val="ListNumber"/>
        <w:spacing w:after="60"/>
      </w:pPr>
      <w:r>
        <w:t>Ruxsat mavjud bo‘lsa, faqat tegishli shkaf ochiladi.</w:t>
      </w:r>
    </w:p>
    <w:p>
      <w:pPr>
        <w:pStyle w:val="ListNumber"/>
        <w:spacing w:after="60"/>
      </w:pPr>
      <w:r>
        <w:t>Qurol va jihozlarning olinishi datchiklar orqali qayd etiladi.</w:t>
      </w:r>
    </w:p>
    <w:p>
      <w:pPr>
        <w:pStyle w:val="ListNumber"/>
        <w:spacing w:after="60"/>
      </w:pPr>
      <w:r>
        <w:t>Sana, vaqt, xodim va qurol seriya raqami jurnalga yoziladi.</w:t>
      </w:r>
    </w:p>
    <w:p>
      <w:pPr>
        <w:pStyle w:val="ListNumber"/>
        <w:spacing w:after="60"/>
      </w:pPr>
      <w:r>
        <w:t>Qaytarishda aynan biriktirilgan jihozlar joyiga qo‘yilgani tekshiriladi.</w:t>
      </w:r>
    </w:p>
    <w:p>
      <w:pPr>
        <w:pStyle w:val="ListNumber"/>
        <w:spacing w:after="60"/>
      </w:pPr>
      <w:r>
        <w:t>Eshik yopilib, shkaf avtomatik qulflanadi.</w:t>
      </w:r>
    </w:p>
    <w:p>
      <w:pPr>
        <w:pStyle w:val="Heading1"/>
      </w:pPr>
      <w:r>
        <w:t>2.6. Favqulodda kirish</w:t>
      </w:r>
    </w:p>
    <w:p>
      <w:r>
        <w:t>Favqulodda ommaviy ochish faqat vakolatli navbatchi, qurolxona mas’uli yoki komandir tomonidan amalga oshiriladi. Tavsiya etiladigan usul: vakolatli karta + maxsus PIN, zarur holatda ikki mas’ul shaxs tasdig‘i. Har bir favqulodda ochilish o‘chirib bo‘lmaydigan alohida jurnalga yoziladi.</w:t>
      </w:r>
    </w:p>
    <w:tbl>
      <w:tblPr>
        <w:tblW w:type="auto" w:w="0"/>
        <w:tblLayout w:type="fixed"/>
        <w:tblLook w:firstColumn="1" w:firstRow="1" w:lastColumn="0" w:lastRow="0" w:noHBand="0" w:noVBand="1" w:val="04A0"/>
      </w:tblPr>
      <w:tblGrid>
        <w:gridCol w:w="9288"/>
      </w:tblGrid>
      <w:tr>
        <w:trPr>
          <w:cantSplit/>
          <w:tblHeader w:val="true"/>
        </w:trPr>
        <w:tc>
          <w:tcPr>
            <w:tcW w:type="dxa" w:w="9547"/>
            <w:shd w:fill="DDEBF7"/>
            <w:tcMar>
              <w:top w:w="150" w:type="dxa"/>
              <w:start w:w="180" w:type="dxa"/>
              <w:bottom w:w="150" w:type="dxa"/>
              <w:end w:w="180" w:type="dxa"/>
            </w:tcMar>
          </w:tcPr>
          <w:p>
            <w:pPr>
              <w:spacing w:after="80"/>
            </w:pPr>
            <w:r/>
            <w:r>
              <w:rPr>
                <w:b/>
                <w:color w:val="2E75B6"/>
                <w:sz w:val="18"/>
              </w:rPr>
              <w:t>YAKUNIY FORMULA</w:t>
            </w:r>
          </w:p>
          <w:p>
            <w:pPr>
              <w:spacing w:after="0" w:line="259" w:lineRule="auto"/>
            </w:pPr>
            <w:r>
              <w:t>Bir vakolatli xodim — bitta shaxsiy Smart shkaf — unga biriktirilgan qurol va jihozlar — barcha harakatlarning avtomatik elektron hisobi.</w:t>
            </w:r>
          </w:p>
        </w:tc>
      </w:tr>
    </w:tbl>
    <w:p>
      <w:pPr>
        <w:spacing w:after="20"/>
      </w:pPr>
    </w:p>
    <w:p>
      <w:r>
        <w:br w:type="page"/>
      </w:r>
    </w:p>
    <w:p>
      <w:pPr>
        <w:pStyle w:val="Title"/>
      </w:pPr>
      <w:r>
        <w:t>3. Statistika, ko‘lam va joriy etish modeli</w:t>
      </w:r>
    </w:p>
    <w:p>
      <w:pPr>
        <w:pStyle w:val="Heading1"/>
      </w:pPr>
      <w:r>
        <w:t>3.1. O‘zbekistondagi taxminiy ehtiyoj</w:t>
      </w:r>
    </w:p>
    <w:p>
      <w:r>
        <w:t>IIV va boshqa kuch tuzilmalaridagi qurol biriktirilgan xodimlarning aniq soni ochiq rasmiy manbalarda e’lon qilinmagan. Shu sababli quyidagi raqamlar rasmiy shtat statistikasi emas, balki ishlab chiqarish, server quvvati va bosqichma-bosqich joriy etishni rejalashtirish uchun ssenariylardir.</w:t>
      </w:r>
    </w:p>
    <w:tbl>
      <w:tblPr>
        <w:tblW w:type="auto" w:w="0"/>
        <w:tblLayout w:type="fixed"/>
        <w:tblLook w:firstColumn="1" w:firstRow="1" w:lastColumn="0" w:lastRow="0" w:noHBand="0" w:noVBand="1" w:val="04A0"/>
      </w:tblPr>
      <w:tblGrid>
        <w:gridCol w:w="9288"/>
      </w:tblGrid>
      <w:tr>
        <w:trPr>
          <w:cantSplit/>
          <w:tblHeader w:val="true"/>
        </w:trPr>
        <w:tc>
          <w:tcPr>
            <w:tcW w:type="dxa" w:w="9547"/>
            <w:shd w:fill="DDEBF7"/>
            <w:tcMar>
              <w:top w:w="150" w:type="dxa"/>
              <w:start w:w="180" w:type="dxa"/>
              <w:bottom w:w="150" w:type="dxa"/>
              <w:end w:w="180" w:type="dxa"/>
            </w:tcMar>
          </w:tcPr>
          <w:p>
            <w:pPr>
              <w:spacing w:after="80"/>
            </w:pPr>
            <w:r/>
            <w:r>
              <w:rPr>
                <w:b/>
                <w:color w:val="2E75B6"/>
                <w:sz w:val="18"/>
              </w:rPr>
              <w:t>HISOBLASH FORMULASI</w:t>
            </w:r>
          </w:p>
          <w:p>
            <w:pPr>
              <w:spacing w:after="0" w:line="259" w:lineRule="auto"/>
            </w:pPr>
            <w:r>
              <w:t>Shkaflar soni = qurol biriktirilgan xodimlar soni + 5–10% zaxira</w:t>
            </w:r>
          </w:p>
        </w:tc>
      </w:tr>
    </w:tbl>
    <w:p>
      <w:pPr>
        <w:spacing w:after="20"/>
      </w:pPr>
    </w:p>
    <w:tbl>
      <w:tblPr>
        <w:tblW w:type="auto" w:w="0"/>
        <w:jc w:val="center"/>
        <w:tblLayout w:type="fixed"/>
        <w:tblLook w:firstColumn="1" w:firstRow="1" w:lastColumn="0" w:lastRow="0" w:noHBand="0" w:noVBand="1" w:val="04A0"/>
      </w:tblPr>
      <w:tblGrid>
        <w:gridCol w:w="2387"/>
        <w:gridCol w:w="2387"/>
        <w:gridCol w:w="2387"/>
        <w:gridCol w:w="2387"/>
      </w:tblGrid>
      <w:tr>
        <w:trPr>
          <w:cantSplit/>
          <w:tblHeader w:val="true"/>
        </w:trPr>
        <w:tc>
          <w:tcPr>
            <w:tcW w:type="dxa" w:w="3600"/>
            <w:vAlign w:val="center"/>
            <w:tcMar>
              <w:top w:w="80" w:type="dxa"/>
              <w:start w:w="110" w:type="dxa"/>
              <w:bottom w:w="80" w:type="dxa"/>
              <w:end w:w="110" w:type="dxa"/>
            </w:tcMar>
            <w:shd w:fill="17365D"/>
          </w:tcPr>
          <w:p>
            <w:pPr>
              <w:spacing w:after="0" w:line="240" w:lineRule="auto"/>
            </w:pPr>
            <w:r/>
            <w:r>
              <w:rPr>
                <w:rFonts w:ascii="Aptos" w:hAnsi="Aptos"/>
                <w:b/>
                <w:color w:val="FFFFFF"/>
                <w:sz w:val="18"/>
              </w:rPr>
              <w:t>Ssenariy</w:t>
            </w:r>
          </w:p>
        </w:tc>
        <w:tc>
          <w:tcPr>
            <w:tcW w:type="dxa" w:w="1656"/>
            <w:vAlign w:val="center"/>
            <w:tcMar>
              <w:top w:w="80" w:type="dxa"/>
              <w:start w:w="110" w:type="dxa"/>
              <w:bottom w:w="80" w:type="dxa"/>
              <w:end w:w="110" w:type="dxa"/>
            </w:tcMar>
            <w:shd w:fill="17365D"/>
          </w:tcPr>
          <w:p>
            <w:pPr>
              <w:spacing w:after="0" w:line="240" w:lineRule="auto"/>
            </w:pPr>
            <w:r/>
            <w:r>
              <w:rPr>
                <w:rFonts w:ascii="Aptos" w:hAnsi="Aptos"/>
                <w:b/>
                <w:color w:val="FFFFFF"/>
                <w:sz w:val="18"/>
              </w:rPr>
              <w:t>Asosiy shkaf</w:t>
            </w:r>
          </w:p>
        </w:tc>
        <w:tc>
          <w:tcPr>
            <w:tcW w:type="dxa" w:w="1584"/>
            <w:vAlign w:val="center"/>
            <w:tcMar>
              <w:top w:w="80" w:type="dxa"/>
              <w:start w:w="110" w:type="dxa"/>
              <w:bottom w:w="80" w:type="dxa"/>
              <w:end w:w="110" w:type="dxa"/>
            </w:tcMar>
            <w:shd w:fill="17365D"/>
          </w:tcPr>
          <w:p>
            <w:pPr>
              <w:spacing w:after="0" w:line="240" w:lineRule="auto"/>
            </w:pPr>
            <w:r/>
            <w:r>
              <w:rPr>
                <w:rFonts w:ascii="Aptos" w:hAnsi="Aptos"/>
                <w:b/>
                <w:color w:val="FFFFFF"/>
                <w:sz w:val="18"/>
              </w:rPr>
              <w:t>10% zaxira</w:t>
            </w:r>
          </w:p>
        </w:tc>
        <w:tc>
          <w:tcPr>
            <w:tcW w:type="dxa" w:w="1584"/>
            <w:vAlign w:val="center"/>
            <w:tcMar>
              <w:top w:w="80" w:type="dxa"/>
              <w:start w:w="110" w:type="dxa"/>
              <w:bottom w:w="80" w:type="dxa"/>
              <w:end w:w="110" w:type="dxa"/>
            </w:tcMar>
            <w:shd w:fill="17365D"/>
          </w:tcPr>
          <w:p>
            <w:pPr>
              <w:spacing w:after="0" w:line="240" w:lineRule="auto"/>
            </w:pPr>
            <w:r/>
            <w:r>
              <w:rPr>
                <w:rFonts w:ascii="Aptos" w:hAnsi="Aptos"/>
                <w:b/>
                <w:color w:val="FFFFFF"/>
                <w:sz w:val="18"/>
              </w:rPr>
              <w:t>Jami</w:t>
            </w:r>
          </w:p>
        </w:tc>
      </w:tr>
      <w:tr>
        <w:trPr>
          <w:cantSplit/>
        </w:trPr>
        <w:tc>
          <w:tcPr>
            <w:tcW w:type="dxa" w:w="36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Bitta kichik IIB</w:t>
            </w:r>
          </w:p>
        </w:tc>
        <w:tc>
          <w:tcPr>
            <w:tcW w:type="dxa" w:w="16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20</w:t>
            </w:r>
          </w:p>
        </w:tc>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2</w:t>
            </w:r>
          </w:p>
        </w:tc>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22</w:t>
            </w:r>
          </w:p>
        </w:tc>
      </w:tr>
      <w:tr>
        <w:trPr>
          <w:cantSplit/>
        </w:trPr>
        <w:tc>
          <w:tcPr>
            <w:tcW w:type="dxa" w:w="360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O‘rtacha IIB</w:t>
            </w:r>
          </w:p>
        </w:tc>
        <w:tc>
          <w:tcPr>
            <w:tcW w:type="dxa" w:w="165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50</w:t>
            </w:r>
          </w:p>
        </w:tc>
        <w:tc>
          <w:tcPr>
            <w:tcW w:type="dxa" w:w="1584"/>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5</w:t>
            </w:r>
          </w:p>
        </w:tc>
        <w:tc>
          <w:tcPr>
            <w:tcW w:type="dxa" w:w="1584"/>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55</w:t>
            </w:r>
          </w:p>
        </w:tc>
      </w:tr>
      <w:tr>
        <w:trPr>
          <w:cantSplit/>
        </w:trPr>
        <w:tc>
          <w:tcPr>
            <w:tcW w:type="dxa" w:w="36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Katta bo‘linma</w:t>
            </w:r>
          </w:p>
        </w:tc>
        <w:tc>
          <w:tcPr>
            <w:tcW w:type="dxa" w:w="16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100</w:t>
            </w:r>
          </w:p>
        </w:tc>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10</w:t>
            </w:r>
          </w:p>
        </w:tc>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110</w:t>
            </w:r>
          </w:p>
        </w:tc>
      </w:tr>
      <w:tr>
        <w:trPr>
          <w:cantSplit/>
        </w:trPr>
        <w:tc>
          <w:tcPr>
            <w:tcW w:type="dxa" w:w="360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Bitta viloyat piloti</w:t>
            </w:r>
          </w:p>
        </w:tc>
        <w:tc>
          <w:tcPr>
            <w:tcW w:type="dxa" w:w="165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500</w:t>
            </w:r>
          </w:p>
        </w:tc>
        <w:tc>
          <w:tcPr>
            <w:tcW w:type="dxa" w:w="1584"/>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50</w:t>
            </w:r>
          </w:p>
        </w:tc>
        <w:tc>
          <w:tcPr>
            <w:tcW w:type="dxa" w:w="1584"/>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550</w:t>
            </w:r>
          </w:p>
        </w:tc>
      </w:tr>
      <w:tr>
        <w:trPr>
          <w:cantSplit/>
        </w:trPr>
        <w:tc>
          <w:tcPr>
            <w:tcW w:type="dxa" w:w="36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Birinchi respublika bosqichi</w:t>
            </w:r>
          </w:p>
        </w:tc>
        <w:tc>
          <w:tcPr>
            <w:tcW w:type="dxa" w:w="16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5 000</w:t>
            </w:r>
          </w:p>
        </w:tc>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500</w:t>
            </w:r>
          </w:p>
        </w:tc>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5 500</w:t>
            </w:r>
          </w:p>
        </w:tc>
      </w:tr>
      <w:tr>
        <w:trPr>
          <w:cantSplit/>
        </w:trPr>
        <w:tc>
          <w:tcPr>
            <w:tcW w:type="dxa" w:w="360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Kengaytirilgan bosqich</w:t>
            </w:r>
          </w:p>
        </w:tc>
        <w:tc>
          <w:tcPr>
            <w:tcW w:type="dxa" w:w="165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10 000</w:t>
            </w:r>
          </w:p>
        </w:tc>
        <w:tc>
          <w:tcPr>
            <w:tcW w:type="dxa" w:w="1584"/>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1 000</w:t>
            </w:r>
          </w:p>
        </w:tc>
        <w:tc>
          <w:tcPr>
            <w:tcW w:type="dxa" w:w="1584"/>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11 000</w:t>
            </w:r>
          </w:p>
        </w:tc>
      </w:tr>
      <w:tr>
        <w:trPr>
          <w:cantSplit/>
        </w:trPr>
        <w:tc>
          <w:tcPr>
            <w:tcW w:type="dxa" w:w="36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Katta milliy tizim</w:t>
            </w:r>
          </w:p>
        </w:tc>
        <w:tc>
          <w:tcPr>
            <w:tcW w:type="dxa" w:w="16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25 000</w:t>
            </w:r>
          </w:p>
        </w:tc>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2 500</w:t>
            </w:r>
          </w:p>
        </w:tc>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27 500</w:t>
            </w:r>
          </w:p>
        </w:tc>
      </w:tr>
    </w:tbl>
    <w:p>
      <w:pPr>
        <w:spacing w:after="20"/>
      </w:pPr>
    </w:p>
    <w:p>
      <w:pPr>
        <w:pStyle w:val="Heading1"/>
      </w:pPr>
      <w:r>
        <w:t>3.2. Joriy etish bosqichlari</w:t>
      </w:r>
    </w:p>
    <w:tbl>
      <w:tblPr>
        <w:tblW w:type="auto" w:w="0"/>
        <w:jc w:val="center"/>
        <w:tblLayout w:type="fixed"/>
        <w:tblLook w:firstColumn="1" w:firstRow="1" w:lastColumn="0" w:lastRow="0" w:noHBand="0" w:noVBand="1" w:val="04A0"/>
      </w:tblPr>
      <w:tblGrid>
        <w:gridCol w:w="2387"/>
        <w:gridCol w:w="2387"/>
        <w:gridCol w:w="2387"/>
        <w:gridCol w:w="2387"/>
      </w:tblGrid>
      <w:tr>
        <w:trPr>
          <w:cantSplit/>
          <w:tblHeader w:val="true"/>
        </w:trPr>
        <w:tc>
          <w:tcPr>
            <w:tcW w:type="dxa" w:w="1584"/>
            <w:vAlign w:val="center"/>
            <w:tcMar>
              <w:top w:w="80" w:type="dxa"/>
              <w:start w:w="110" w:type="dxa"/>
              <w:bottom w:w="80" w:type="dxa"/>
              <w:end w:w="110" w:type="dxa"/>
            </w:tcMar>
            <w:shd w:fill="17365D"/>
          </w:tcPr>
          <w:p>
            <w:pPr>
              <w:spacing w:after="0" w:line="240" w:lineRule="auto"/>
            </w:pPr>
            <w:r/>
            <w:r>
              <w:rPr>
                <w:rFonts w:ascii="Aptos" w:hAnsi="Aptos"/>
                <w:b/>
                <w:color w:val="FFFFFF"/>
                <w:sz w:val="18"/>
              </w:rPr>
              <w:t>Bosqich</w:t>
            </w:r>
          </w:p>
        </w:tc>
        <w:tc>
          <w:tcPr>
            <w:tcW w:type="dxa" w:w="2664"/>
            <w:vAlign w:val="center"/>
            <w:tcMar>
              <w:top w:w="80" w:type="dxa"/>
              <w:start w:w="110" w:type="dxa"/>
              <w:bottom w:w="80" w:type="dxa"/>
              <w:end w:w="110" w:type="dxa"/>
            </w:tcMar>
            <w:shd w:fill="17365D"/>
          </w:tcPr>
          <w:p>
            <w:pPr>
              <w:spacing w:after="0" w:line="240" w:lineRule="auto"/>
            </w:pPr>
            <w:r/>
            <w:r>
              <w:rPr>
                <w:rFonts w:ascii="Aptos" w:hAnsi="Aptos"/>
                <w:b/>
                <w:color w:val="FFFFFF"/>
                <w:sz w:val="18"/>
              </w:rPr>
              <w:t>Joy</w:t>
            </w:r>
          </w:p>
        </w:tc>
        <w:tc>
          <w:tcPr>
            <w:tcW w:type="dxa" w:w="1584"/>
            <w:vAlign w:val="center"/>
            <w:tcMar>
              <w:top w:w="80" w:type="dxa"/>
              <w:start w:w="110" w:type="dxa"/>
              <w:bottom w:w="80" w:type="dxa"/>
              <w:end w:w="110" w:type="dxa"/>
            </w:tcMar>
            <w:shd w:fill="17365D"/>
          </w:tcPr>
          <w:p>
            <w:pPr>
              <w:spacing w:after="0" w:line="240" w:lineRule="auto"/>
            </w:pPr>
            <w:r/>
            <w:r>
              <w:rPr>
                <w:rFonts w:ascii="Aptos" w:hAnsi="Aptos"/>
                <w:b/>
                <w:color w:val="FFFFFF"/>
                <w:sz w:val="18"/>
              </w:rPr>
              <w:t>Shkaf soni</w:t>
            </w:r>
          </w:p>
        </w:tc>
        <w:tc>
          <w:tcPr>
            <w:tcW w:type="dxa" w:w="3456"/>
            <w:vAlign w:val="center"/>
            <w:tcMar>
              <w:top w:w="80" w:type="dxa"/>
              <w:start w:w="110" w:type="dxa"/>
              <w:bottom w:w="80" w:type="dxa"/>
              <w:end w:w="110" w:type="dxa"/>
            </w:tcMar>
            <w:shd w:fill="17365D"/>
          </w:tcPr>
          <w:p>
            <w:pPr>
              <w:spacing w:after="0" w:line="240" w:lineRule="auto"/>
            </w:pPr>
            <w:r/>
            <w:r>
              <w:rPr>
                <w:rFonts w:ascii="Aptos" w:hAnsi="Aptos"/>
                <w:b/>
                <w:color w:val="FFFFFF"/>
                <w:sz w:val="18"/>
              </w:rPr>
              <w:t>Maqsad</w:t>
            </w:r>
          </w:p>
        </w:tc>
      </w:tr>
      <w:tr>
        <w:trPr>
          <w:cantSplit/>
        </w:trPr>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Prototip</w:t>
            </w:r>
          </w:p>
        </w:tc>
        <w:tc>
          <w:tcPr>
            <w:tcW w:type="dxa" w:w="266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Korxona laboratoriyasi</w:t>
            </w:r>
          </w:p>
        </w:tc>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1–2</w:t>
            </w:r>
          </w:p>
        </w:tc>
        <w:tc>
          <w:tcPr>
            <w:tcW w:type="dxa" w:w="34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Mexanika va elektronikani sinash</w:t>
            </w:r>
          </w:p>
        </w:tc>
      </w:tr>
      <w:tr>
        <w:trPr>
          <w:cantSplit/>
        </w:trPr>
        <w:tc>
          <w:tcPr>
            <w:tcW w:type="dxa" w:w="1584"/>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Sinov</w:t>
            </w:r>
          </w:p>
        </w:tc>
        <w:tc>
          <w:tcPr>
            <w:tcW w:type="dxa" w:w="2664"/>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Bitta qurolxona</w:t>
            </w:r>
          </w:p>
        </w:tc>
        <w:tc>
          <w:tcPr>
            <w:tcW w:type="dxa" w:w="1584"/>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10–20</w:t>
            </w:r>
          </w:p>
        </w:tc>
        <w:tc>
          <w:tcPr>
            <w:tcW w:type="dxa" w:w="345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Real jarayon bilan tekshirish</w:t>
            </w:r>
          </w:p>
        </w:tc>
      </w:tr>
      <w:tr>
        <w:trPr>
          <w:cantSplit/>
        </w:trPr>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Pilot</w:t>
            </w:r>
          </w:p>
        </w:tc>
        <w:tc>
          <w:tcPr>
            <w:tcW w:type="dxa" w:w="266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Bitta IIB/maxsus bo‘linma</w:t>
            </w:r>
          </w:p>
        </w:tc>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30–50</w:t>
            </w:r>
          </w:p>
        </w:tc>
        <w:tc>
          <w:tcPr>
            <w:tcW w:type="dxa" w:w="34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To‘liq apparat-dasturiy tizim</w:t>
            </w:r>
          </w:p>
        </w:tc>
      </w:tr>
      <w:tr>
        <w:trPr>
          <w:cantSplit/>
        </w:trPr>
        <w:tc>
          <w:tcPr>
            <w:tcW w:type="dxa" w:w="1584"/>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Hududiy pilot</w:t>
            </w:r>
          </w:p>
        </w:tc>
        <w:tc>
          <w:tcPr>
            <w:tcW w:type="dxa" w:w="2664"/>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Bitta viloyat</w:t>
            </w:r>
          </w:p>
        </w:tc>
        <w:tc>
          <w:tcPr>
            <w:tcW w:type="dxa" w:w="1584"/>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300–500</w:t>
            </w:r>
          </w:p>
        </w:tc>
        <w:tc>
          <w:tcPr>
            <w:tcW w:type="dxa" w:w="345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Lokal server, integratsiya va statistika</w:t>
            </w:r>
          </w:p>
        </w:tc>
      </w:tr>
      <w:tr>
        <w:trPr>
          <w:cantSplit/>
        </w:trPr>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Respublika</w:t>
            </w:r>
          </w:p>
        </w:tc>
        <w:tc>
          <w:tcPr>
            <w:tcW w:type="dxa" w:w="266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Tasdiqlangan bo‘linmalar</w:t>
            </w:r>
          </w:p>
        </w:tc>
        <w:tc>
          <w:tcPr>
            <w:tcW w:type="dxa" w:w="1584"/>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5 000+</w:t>
            </w:r>
          </w:p>
        </w:tc>
        <w:tc>
          <w:tcPr>
            <w:tcW w:type="dxa" w:w="34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Bosqichma-bosqich joriy etish</w:t>
            </w:r>
          </w:p>
        </w:tc>
      </w:tr>
    </w:tbl>
    <w:p>
      <w:pPr>
        <w:spacing w:after="20"/>
      </w:pPr>
    </w:p>
    <w:p>
      <w:r>
        <w:t>Amaliy boshlanish uchun eng maqbul hajm — bitta bo‘linmada 30–50 ta shkaf.</w:t>
      </w:r>
    </w:p>
    <w:p>
      <w:pPr>
        <w:pStyle w:val="Heading1"/>
      </w:pPr>
      <w:r>
        <w:t>3.3. Joylashuv va elektronika iqtisodi</w:t>
      </w:r>
    </w:p>
    <w:p>
      <w:r>
        <w:t>20 ta 400 mm shkafning sof umumiy kengligi 8 metrni tashkil qiladi. Ikki devorga 10 tadan o‘rnatilganda har tomonda taxminan 4 metr shkaf qatori va 1,2–1,5 metr xizmat yo‘lagi talab etiladi.</w:t>
      </w:r>
    </w:p>
    <w:p>
      <w:r>
        <w:t>Har bir shkafga to‘liq balandlikdagi alohida elektronika moduli qo‘yish joy va xarajatni oshiradi. Maqbul variant: 10–20 ta shkafga bitta umumiy Face ID terminali, lokal kontroller va aloqa moduli; har bir shkafda esa qulf, identifikator, datchiklar va arzon mahalliy kontroller.</w:t>
      </w:r>
    </w:p>
    <w:p>
      <w:pPr>
        <w:pStyle w:val="Heading1"/>
      </w:pPr>
      <w:r>
        <w:t>3.4. Tizim yig‘adigan statistika</w:t>
      </w:r>
    </w:p>
    <w:tbl>
      <w:tblPr>
        <w:tblW w:type="auto" w:w="0"/>
        <w:jc w:val="center"/>
        <w:tblLayout w:type="fixed"/>
        <w:tblLook w:firstColumn="1" w:firstRow="1" w:lastColumn="0" w:lastRow="0" w:noHBand="0" w:noVBand="1" w:val="04A0"/>
      </w:tblPr>
      <w:tblGrid>
        <w:gridCol w:w="4773"/>
        <w:gridCol w:w="4773"/>
      </w:tblGrid>
      <w:tr>
        <w:trPr>
          <w:cantSplit/>
          <w:tblHeader w:val="true"/>
        </w:trPr>
        <w:tc>
          <w:tcPr>
            <w:tcW w:type="dxa" w:w="2592"/>
            <w:vAlign w:val="center"/>
            <w:tcMar>
              <w:top w:w="80" w:type="dxa"/>
              <w:start w:w="110" w:type="dxa"/>
              <w:bottom w:w="80" w:type="dxa"/>
              <w:end w:w="110" w:type="dxa"/>
            </w:tcMar>
            <w:shd w:fill="17365D"/>
          </w:tcPr>
          <w:p>
            <w:pPr>
              <w:spacing w:after="0" w:line="240" w:lineRule="auto"/>
            </w:pPr>
            <w:r/>
            <w:r>
              <w:rPr>
                <w:rFonts w:ascii="Aptos" w:hAnsi="Aptos"/>
                <w:b/>
                <w:color w:val="FFFFFF"/>
                <w:sz w:val="18"/>
              </w:rPr>
              <w:t>Statistika</w:t>
            </w:r>
          </w:p>
        </w:tc>
        <w:tc>
          <w:tcPr>
            <w:tcW w:type="dxa" w:w="6696"/>
            <w:vAlign w:val="center"/>
            <w:tcMar>
              <w:top w:w="80" w:type="dxa"/>
              <w:start w:w="110" w:type="dxa"/>
              <w:bottom w:w="80" w:type="dxa"/>
              <w:end w:w="110" w:type="dxa"/>
            </w:tcMar>
            <w:shd w:fill="17365D"/>
          </w:tcPr>
          <w:p>
            <w:pPr>
              <w:spacing w:after="0" w:line="240" w:lineRule="auto"/>
            </w:pPr>
            <w:r/>
            <w:r>
              <w:rPr>
                <w:rFonts w:ascii="Aptos" w:hAnsi="Aptos"/>
                <w:b/>
                <w:color w:val="FFFFFF"/>
                <w:sz w:val="18"/>
              </w:rPr>
              <w:t>Qayd qilinadigan ma’lumot</w:t>
            </w:r>
          </w:p>
        </w:tc>
      </w:tr>
      <w:tr>
        <w:trPr>
          <w:cantSplit/>
        </w:trPr>
        <w:tc>
          <w:tcPr>
            <w:tcW w:type="dxa" w:w="25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Xodim</w:t>
            </w:r>
          </w:p>
        </w:tc>
        <w:tc>
          <w:tcPr>
            <w:tcW w:type="dxa" w:w="66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F.I.Sh., tabel raqami, bo‘linma va xizmat holati</w:t>
            </w:r>
          </w:p>
        </w:tc>
      </w:tr>
      <w:tr>
        <w:trPr>
          <w:cantSplit/>
        </w:trPr>
        <w:tc>
          <w:tcPr>
            <w:tcW w:type="dxa" w:w="25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Shkaf</w:t>
            </w:r>
          </w:p>
        </w:tc>
        <w:tc>
          <w:tcPr>
            <w:tcW w:type="dxa" w:w="66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Raqami, manzili va texnik holati</w:t>
            </w:r>
          </w:p>
        </w:tc>
      </w:tr>
      <w:tr>
        <w:trPr>
          <w:cantSplit/>
        </w:trPr>
        <w:tc>
          <w:tcPr>
            <w:tcW w:type="dxa" w:w="25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Qurol</w:t>
            </w:r>
          </w:p>
        </w:tc>
        <w:tc>
          <w:tcPr>
            <w:tcW w:type="dxa" w:w="66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Turi, modeli, seriya raqami va RFID</w:t>
            </w:r>
          </w:p>
        </w:tc>
      </w:tr>
      <w:tr>
        <w:trPr>
          <w:cantSplit/>
        </w:trPr>
        <w:tc>
          <w:tcPr>
            <w:tcW w:type="dxa" w:w="25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O‘q-dori</w:t>
            </w:r>
          </w:p>
        </w:tc>
        <w:tc>
          <w:tcPr>
            <w:tcW w:type="dxa" w:w="66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Kalibr, partiya va miqdor</w:t>
            </w:r>
          </w:p>
        </w:tc>
      </w:tr>
      <w:tr>
        <w:trPr>
          <w:cantSplit/>
        </w:trPr>
        <w:tc>
          <w:tcPr>
            <w:tcW w:type="dxa" w:w="25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Olish/qaytarish</w:t>
            </w:r>
          </w:p>
        </w:tc>
        <w:tc>
          <w:tcPr>
            <w:tcW w:type="dxa" w:w="66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Sana, vaqt va davomiylik</w:t>
            </w:r>
          </w:p>
        </w:tc>
      </w:tr>
      <w:tr>
        <w:trPr>
          <w:cantSplit/>
        </w:trPr>
        <w:tc>
          <w:tcPr>
            <w:tcW w:type="dxa" w:w="25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Kirish usuli</w:t>
            </w:r>
          </w:p>
        </w:tc>
        <w:tc>
          <w:tcPr>
            <w:tcW w:type="dxa" w:w="66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Karta, PIN, biometrika yoki favqulodda ochish</w:t>
            </w:r>
          </w:p>
        </w:tc>
      </w:tr>
      <w:tr>
        <w:trPr>
          <w:cantSplit/>
        </w:trPr>
        <w:tc>
          <w:tcPr>
            <w:tcW w:type="dxa" w:w="25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Rad etilgan kirish</w:t>
            </w:r>
          </w:p>
        </w:tc>
        <w:tc>
          <w:tcPr>
            <w:tcW w:type="dxa" w:w="66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Kim, qachon, sababi va urinishlar soni</w:t>
            </w:r>
          </w:p>
        </w:tc>
      </w:tr>
      <w:tr>
        <w:trPr>
          <w:cantSplit/>
        </w:trPr>
        <w:tc>
          <w:tcPr>
            <w:tcW w:type="dxa" w:w="25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Kechikish</w:t>
            </w:r>
          </w:p>
        </w:tc>
        <w:tc>
          <w:tcPr>
            <w:tcW w:type="dxa" w:w="66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Belgilangan vaqtda qaytarilmagan jihoz</w:t>
            </w:r>
          </w:p>
        </w:tc>
      </w:tr>
      <w:tr>
        <w:trPr>
          <w:cantSplit/>
        </w:trPr>
        <w:tc>
          <w:tcPr>
            <w:tcW w:type="dxa" w:w="25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Inventar</w:t>
            </w:r>
          </w:p>
        </w:tc>
        <w:tc>
          <w:tcPr>
            <w:tcW w:type="dxa" w:w="66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Mavjud, yo‘q, nosoz yoki xizmatda</w:t>
            </w:r>
          </w:p>
        </w:tc>
      </w:tr>
      <w:tr>
        <w:trPr>
          <w:cantSplit/>
        </w:trPr>
        <w:tc>
          <w:tcPr>
            <w:tcW w:type="dxa" w:w="25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Signal</w:t>
            </w:r>
          </w:p>
        </w:tc>
        <w:tc>
          <w:tcPr>
            <w:tcW w:type="dxa" w:w="66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Urilish, buzish, eshik ochiq qolishi va quvvat uzilishi</w:t>
            </w:r>
          </w:p>
        </w:tc>
      </w:tr>
    </w:tbl>
    <w:p>
      <w:pPr>
        <w:spacing w:after="20"/>
      </w:pPr>
    </w:p>
    <w:p>
      <w:pPr>
        <w:pStyle w:val="Heading1"/>
      </w:pPr>
      <w:r>
        <w:t>3.5. Rahbariyat dashboardi</w:t>
      </w:r>
    </w:p>
    <w:p>
      <w:pPr>
        <w:pStyle w:val="ListBullet"/>
        <w:spacing w:after="60"/>
      </w:pPr>
      <w:r>
        <w:t>jami va mavjud qurollar;</w:t>
      </w:r>
    </w:p>
    <w:p>
      <w:pPr>
        <w:pStyle w:val="ListBullet"/>
        <w:spacing w:after="60"/>
      </w:pPr>
      <w:r>
        <w:t>ayni paytda xodimlarga berilgan qurollar;</w:t>
      </w:r>
    </w:p>
    <w:p>
      <w:pPr>
        <w:pStyle w:val="ListBullet"/>
        <w:spacing w:after="60"/>
      </w:pPr>
      <w:r>
        <w:t>vaqtida qaytarilmagan qurollar;</w:t>
      </w:r>
    </w:p>
    <w:p>
      <w:pPr>
        <w:pStyle w:val="ListBullet"/>
        <w:spacing w:after="60"/>
      </w:pPr>
      <w:r>
        <w:t>nosoz yoki bloklangan shkaflar;</w:t>
      </w:r>
    </w:p>
    <w:p>
      <w:pPr>
        <w:pStyle w:val="ListBullet"/>
        <w:spacing w:after="60"/>
      </w:pPr>
      <w:r>
        <w:t>sutkalik olish-qaytarishlar;</w:t>
      </w:r>
    </w:p>
    <w:p>
      <w:pPr>
        <w:pStyle w:val="ListBullet"/>
        <w:spacing w:after="60"/>
      </w:pPr>
      <w:r>
        <w:t>rad etilgan kirish urinishlari;</w:t>
      </w:r>
    </w:p>
    <w:p>
      <w:pPr>
        <w:pStyle w:val="ListBullet"/>
        <w:spacing w:after="60"/>
      </w:pPr>
      <w:r>
        <w:t>favqulodda ochilishlar;</w:t>
      </w:r>
    </w:p>
    <w:p>
      <w:pPr>
        <w:pStyle w:val="ListBullet"/>
        <w:spacing w:after="60"/>
      </w:pPr>
      <w:r>
        <w:t>inventarizatsiyadagi farqlar;</w:t>
      </w:r>
    </w:p>
    <w:p>
      <w:pPr>
        <w:pStyle w:val="ListBullet"/>
        <w:spacing w:after="60"/>
      </w:pPr>
      <w:r>
        <w:t>hudud va bo‘linmalar bo‘yicha holat.</w:t>
      </w:r>
    </w:p>
    <w:p>
      <w:pPr>
        <w:pStyle w:val="Heading1"/>
      </w:pPr>
      <w:r>
        <w:t>3.6. Ma’lumotlar hajmi</w:t>
      </w:r>
    </w:p>
    <w:p>
      <w:r>
        <w:t>Agar 5 000 ta shkafning har birida kuniga o‘rtacha 4 ta hodisa qayd qilinsa, tizim kuniga 20 000 ta, yiliga taxminan 7 300 000 ta hodisa yaratadi. Matnli jurnal hajmi katta emas; video va yuz tasvirlarini doimiy saqlash esa xotira talabini keskin oshiradi.</w:t>
      </w:r>
    </w:p>
    <w:p>
      <w:pPr>
        <w:pStyle w:val="ListBullet"/>
        <w:spacing w:after="60"/>
      </w:pPr>
      <w:r>
        <w:t>hodisalar jurnali uzoq muddat saqlanadi;</w:t>
      </w:r>
    </w:p>
    <w:p>
      <w:pPr>
        <w:pStyle w:val="ListBullet"/>
        <w:spacing w:after="60"/>
      </w:pPr>
      <w:r>
        <w:t>Face ID biometrik shabloni himoyalangan shaklda saqlanadi;</w:t>
      </w:r>
    </w:p>
    <w:p>
      <w:pPr>
        <w:pStyle w:val="ListBullet"/>
        <w:spacing w:after="60"/>
      </w:pPr>
      <w:r>
        <w:t>oddiy kirish videosi cheklangan muddat saqlanadi;</w:t>
      </w:r>
    </w:p>
    <w:p>
      <w:pPr>
        <w:pStyle w:val="ListBullet"/>
        <w:spacing w:after="60"/>
      </w:pPr>
      <w:r>
        <w:t>buzishga urinish videosi alohida arxivlanadi;</w:t>
      </w:r>
    </w:p>
    <w:p>
      <w:pPr>
        <w:pStyle w:val="ListBullet"/>
        <w:spacing w:after="60"/>
      </w:pPr>
      <w:r>
        <w:t>ma’lumotlar O‘zbekiston hududidagi mahalliy serverda saqlanadi.</w:t>
      </w:r>
    </w:p>
    <w:tbl>
      <w:tblPr>
        <w:tblW w:type="auto" w:w="0"/>
        <w:tblLayout w:type="fixed"/>
        <w:tblLook w:firstColumn="1" w:firstRow="1" w:lastColumn="0" w:lastRow="0" w:noHBand="0" w:noVBand="1" w:val="04A0"/>
      </w:tblPr>
      <w:tblGrid>
        <w:gridCol w:w="9288"/>
      </w:tblGrid>
      <w:tr>
        <w:trPr>
          <w:cantSplit/>
          <w:tblHeader w:val="true"/>
        </w:trPr>
        <w:tc>
          <w:tcPr>
            <w:tcW w:type="dxa" w:w="9547"/>
            <w:shd w:fill="F2F4F7"/>
            <w:tcMar>
              <w:top w:w="150" w:type="dxa"/>
              <w:start w:w="180" w:type="dxa"/>
              <w:bottom w:w="150" w:type="dxa"/>
              <w:end w:w="180" w:type="dxa"/>
            </w:tcMar>
          </w:tcPr>
          <w:p>
            <w:pPr>
              <w:spacing w:after="80"/>
            </w:pPr>
            <w:r/>
            <w:r>
              <w:rPr>
                <w:b/>
                <w:color w:val="2E75B6"/>
                <w:sz w:val="18"/>
              </w:rPr>
              <w:t>ANIQ EHTIYOJ UCHUN KERAK BO‘LGAN MA’LUMOT</w:t>
            </w:r>
          </w:p>
          <w:p>
            <w:pPr>
              <w:spacing w:after="0" w:line="259" w:lineRule="auto"/>
            </w:pPr>
            <w:r>
              <w:t>IIVdan uchta ko‘rsatkich olinadi: (1) qurol biriktirilgan xodimlar soni; (2) qurol saqlanadigan bo‘linmalar soni; (3) har bir bo‘linmadagi qurolli smena xodimlari soni. Shundan keyin rasmiy ko‘lam va iqtisodiy hisob tayyorlanadi.</w:t>
            </w:r>
          </w:p>
        </w:tc>
      </w:tr>
    </w:tbl>
    <w:p>
      <w:pPr>
        <w:spacing w:after="20"/>
      </w:pPr>
    </w:p>
    <w:p>
      <w:r>
        <w:br w:type="page"/>
      </w:r>
    </w:p>
    <w:p>
      <w:pPr>
        <w:pStyle w:val="Title"/>
      </w:pPr>
      <w:r>
        <w:t>4. Xalqaro tajriba</w:t>
      </w:r>
    </w:p>
    <w:p>
      <w:r>
        <w:t>Xalqaro bozorda bunday mahsulotlar Intelligent Weapons Management System yoki Electronic Armory Management System sifatida shakllangan. Ularning markaziy vazifasi shkafni elektron ochish emas, balki qurolning to‘liq “chain of custody” tarixini — kim, qachon, nimani oldi va qachon qaytardi — ishonchli saqlashdir.</w:t>
      </w:r>
    </w:p>
    <w:p>
      <w:pPr>
        <w:pStyle w:val="Heading1"/>
      </w:pPr>
      <w:r>
        <w:t>4.1. Asosiy xalqaro yechimlar</w:t>
      </w:r>
    </w:p>
    <w:tbl>
      <w:tblPr>
        <w:tblW w:type="auto" w:w="0"/>
        <w:jc w:val="center"/>
        <w:tblLayout w:type="fixed"/>
        <w:tblLook w:firstColumn="1" w:firstRow="1" w:lastColumn="0" w:lastRow="0" w:noHBand="0" w:noVBand="1" w:val="04A0"/>
      </w:tblPr>
      <w:tblGrid>
        <w:gridCol w:w="4773"/>
        <w:gridCol w:w="4773"/>
      </w:tblGrid>
      <w:tr>
        <w:trPr>
          <w:cantSplit/>
          <w:tblHeader w:val="true"/>
        </w:trPr>
        <w:tc>
          <w:tcPr>
            <w:tcW w:type="dxa" w:w="2592"/>
            <w:vAlign w:val="center"/>
            <w:tcMar>
              <w:top w:w="80" w:type="dxa"/>
              <w:start w:w="110" w:type="dxa"/>
              <w:bottom w:w="80" w:type="dxa"/>
              <w:end w:w="110" w:type="dxa"/>
            </w:tcMar>
            <w:shd w:fill="17365D"/>
          </w:tcPr>
          <w:p>
            <w:pPr>
              <w:spacing w:after="0" w:line="240" w:lineRule="auto"/>
            </w:pPr>
            <w:r/>
            <w:r>
              <w:rPr>
                <w:rFonts w:ascii="Aptos" w:hAnsi="Aptos"/>
                <w:b/>
                <w:color w:val="FFFFFF"/>
                <w:sz w:val="18"/>
              </w:rPr>
              <w:t>Tizim</w:t>
            </w:r>
          </w:p>
        </w:tc>
        <w:tc>
          <w:tcPr>
            <w:tcW w:type="dxa" w:w="6696"/>
            <w:vAlign w:val="center"/>
            <w:tcMar>
              <w:top w:w="80" w:type="dxa"/>
              <w:start w:w="110" w:type="dxa"/>
              <w:bottom w:w="80" w:type="dxa"/>
              <w:end w:w="110" w:type="dxa"/>
            </w:tcMar>
            <w:shd w:fill="17365D"/>
          </w:tcPr>
          <w:p>
            <w:pPr>
              <w:spacing w:after="0" w:line="240" w:lineRule="auto"/>
            </w:pPr>
            <w:r/>
            <w:r>
              <w:rPr>
                <w:rFonts w:ascii="Aptos" w:hAnsi="Aptos"/>
                <w:b/>
                <w:color w:val="FFFFFF"/>
                <w:sz w:val="18"/>
              </w:rPr>
              <w:t>Asosiy yondashuv</w:t>
            </w:r>
          </w:p>
        </w:tc>
      </w:tr>
      <w:tr>
        <w:trPr>
          <w:cantSplit/>
        </w:trPr>
        <w:tc>
          <w:tcPr>
            <w:tcW w:type="dxa" w:w="25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Traka / ASSA ABLOY</w:t>
            </w:r>
          </w:p>
        </w:tc>
        <w:tc>
          <w:tcPr>
            <w:tcW w:type="dxa" w:w="66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Elektron shkaf, RFID, vaqt bo‘yicha vakolat, inventar holati va audit jurnali.</w:t>
            </w:r>
          </w:p>
        </w:tc>
      </w:tr>
      <w:tr>
        <w:trPr>
          <w:cantSplit/>
        </w:trPr>
        <w:tc>
          <w:tcPr>
            <w:tcW w:type="dxa" w:w="25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Real Time Networks</w:t>
            </w:r>
          </w:p>
        </w:tc>
        <w:tc>
          <w:tcPr>
            <w:tcW w:type="dxa" w:w="66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Qurol berish-qaytarish, chain of custody va favqulodda tezkor kirish.</w:t>
            </w:r>
          </w:p>
        </w:tc>
      </w:tr>
      <w:tr>
        <w:trPr>
          <w:cantSplit/>
        </w:trPr>
        <w:tc>
          <w:tcPr>
            <w:tcW w:type="dxa" w:w="25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deister electronic</w:t>
            </w:r>
          </w:p>
        </w:tc>
        <w:tc>
          <w:tcPr>
            <w:tcW w:type="dxa" w:w="66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Qurol, magazin va jihozlarni RFID bilan aniqlash, real vaqt monitoringi.</w:t>
            </w:r>
          </w:p>
        </w:tc>
      </w:tr>
      <w:tr>
        <w:trPr>
          <w:cantSplit/>
        </w:trPr>
        <w:tc>
          <w:tcPr>
            <w:tcW w:type="dxa" w:w="25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Armory System</w:t>
            </w:r>
          </w:p>
        </w:tc>
        <w:tc>
          <w:tcPr>
            <w:tcW w:type="dxa" w:w="66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Barcode/RFID, qurol holati, ko‘rik, ta’mir va majburiy ish jarayonlari.</w:t>
            </w:r>
          </w:p>
        </w:tc>
      </w:tr>
      <w:tr>
        <w:trPr>
          <w:cantSplit/>
        </w:trPr>
        <w:tc>
          <w:tcPr>
            <w:tcW w:type="dxa" w:w="25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IoT Weapon Tracker</w:t>
            </w:r>
          </w:p>
        </w:tc>
        <w:tc>
          <w:tcPr>
            <w:tcW w:type="dxa" w:w="66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RFID, vazn datchigi, biometrik kirish va markaziy kuzatuv.</w:t>
            </w:r>
          </w:p>
        </w:tc>
      </w:tr>
    </w:tbl>
    <w:p>
      <w:pPr>
        <w:spacing w:after="20"/>
      </w:pPr>
    </w:p>
    <w:p>
      <w:pPr>
        <w:pStyle w:val="Heading1"/>
      </w:pPr>
      <w:r>
        <w:t>4.2. Xodimni aniqlash</w:t>
      </w:r>
    </w:p>
    <w:p>
      <w:pPr>
        <w:pStyle w:val="ListBullet"/>
        <w:spacing w:after="60"/>
      </w:pPr>
      <w:r>
        <w:t>RFID xizmat kartasi;</w:t>
      </w:r>
    </w:p>
    <w:p>
      <w:pPr>
        <w:pStyle w:val="ListBullet"/>
        <w:spacing w:after="60"/>
      </w:pPr>
      <w:r>
        <w:t>shaxsiy PIN-kod;</w:t>
      </w:r>
    </w:p>
    <w:p>
      <w:pPr>
        <w:pStyle w:val="ListBullet"/>
        <w:spacing w:after="60"/>
      </w:pPr>
      <w:r>
        <w:t>barmoq izi;</w:t>
      </w:r>
    </w:p>
    <w:p>
      <w:pPr>
        <w:pStyle w:val="ListBullet"/>
        <w:spacing w:after="60"/>
      </w:pPr>
      <w:r>
        <w:t>Face ID;</w:t>
      </w:r>
    </w:p>
    <w:p>
      <w:pPr>
        <w:pStyle w:val="ListBullet"/>
        <w:spacing w:after="60"/>
      </w:pPr>
      <w:r>
        <w:t>markaziy ruxsat tizimi;</w:t>
      </w:r>
    </w:p>
    <w:p>
      <w:pPr>
        <w:pStyle w:val="ListBullet"/>
        <w:spacing w:after="60"/>
      </w:pPr>
      <w:r>
        <w:t>yuqori xavfli operatsiyada ikki xodim tasdig‘i.</w:t>
      </w:r>
    </w:p>
    <w:tbl>
      <w:tblPr>
        <w:tblW w:type="auto" w:w="0"/>
        <w:tblLayout w:type="fixed"/>
        <w:tblLook w:firstColumn="1" w:firstRow="1" w:lastColumn="0" w:lastRow="0" w:noHBand="0" w:noVBand="1" w:val="04A0"/>
      </w:tblPr>
      <w:tblGrid>
        <w:gridCol w:w="9288"/>
      </w:tblGrid>
      <w:tr>
        <w:trPr>
          <w:cantSplit/>
          <w:tblHeader w:val="true"/>
        </w:trPr>
        <w:tc>
          <w:tcPr>
            <w:tcW w:type="dxa" w:w="9547"/>
            <w:shd w:fill="DDEBF7"/>
            <w:tcMar>
              <w:top w:w="150" w:type="dxa"/>
              <w:start w:w="180" w:type="dxa"/>
              <w:bottom w:w="150" w:type="dxa"/>
              <w:end w:w="180" w:type="dxa"/>
            </w:tcMar>
          </w:tcPr>
          <w:p>
            <w:pPr>
              <w:spacing w:after="80"/>
            </w:pPr>
            <w:r/>
            <w:r>
              <w:rPr>
                <w:b/>
                <w:color w:val="2E75B6"/>
                <w:sz w:val="18"/>
              </w:rPr>
              <w:t>TAVSIYA ETILADIGAN AUTENTIFIKATSIYA</w:t>
            </w:r>
          </w:p>
          <w:p>
            <w:pPr>
              <w:spacing w:after="0" w:line="259" w:lineRule="auto"/>
            </w:pPr>
            <w:r>
              <w:t>Asosiy: xizmat kartasi + barmoq izi yoki PIN. Qo‘shimcha: Face ID. Favqulodda: vakolatli karta + maxsus PIN + mexanik kalit. Faqat Face IDga tayanish niqob, dubulg‘a, yorug‘lik va kamera nosozligi sababli tavsiya etilmaydi.</w:t>
            </w:r>
          </w:p>
        </w:tc>
      </w:tr>
    </w:tbl>
    <w:p>
      <w:pPr>
        <w:spacing w:after="20"/>
      </w:pPr>
    </w:p>
    <w:p>
      <w:pPr>
        <w:pStyle w:val="Heading1"/>
      </w:pPr>
      <w:r>
        <w:t>4.3. Qurol va jihozlarni aniqlash</w:t>
      </w:r>
    </w:p>
    <w:p>
      <w:pPr>
        <w:pStyle w:val="Heading2"/>
      </w:pPr>
      <w:r>
        <w:t>RFID</w:t>
      </w:r>
    </w:p>
    <w:p>
      <w:r>
        <w:t>Har bir qurol, magazin va muhim jihoz RFID identifikatori orqali seriya yoki inventar raqamiga bog‘lanadi. Bu olish-qaytarishni avtomatlashtirish va tez inventarizatsiya qilish imkonini beradi.</w:t>
      </w:r>
    </w:p>
    <w:p>
      <w:pPr>
        <w:pStyle w:val="Heading2"/>
      </w:pPr>
      <w:r>
        <w:t>Vazn datchigi</w:t>
      </w:r>
    </w:p>
    <w:p>
      <w:r>
        <w:t>Magazin va o‘q-dori bo‘limlaridagi vazn datchigi joy bandligini va umumiy vazn o‘zgarishini aniqlaydi. U o‘q sonini yuridik dalil sifatida aniq tasdiqlamaydi, lekin inventar nazorati uchun qo‘shimcha signal beradi.</w:t>
      </w:r>
    </w:p>
    <w:p>
      <w:pPr>
        <w:pStyle w:val="Heading2"/>
      </w:pPr>
      <w:r>
        <w:t>Mexanik/holat datchigi</w:t>
      </w:r>
    </w:p>
    <w:p>
      <w:r>
        <w:t>AK-74 uchun qo‘ndoq ostidagi bosim datchigi, stvol qisqichidagi holat datchigi va RFID birgalikda ishlaydi. Kritik holat kamida ikki turdagi signal bilan tasdiqlanadi.</w:t>
      </w:r>
    </w:p>
    <w:p>
      <w:pPr>
        <w:pStyle w:val="Heading1"/>
      </w:pPr>
      <w:r>
        <w:t>4.4. Xalqaro ish jarayoni</w:t>
      </w:r>
    </w:p>
    <w:p>
      <w:pPr>
        <w:pStyle w:val="ListNumber"/>
        <w:spacing w:after="60"/>
      </w:pPr>
      <w:r>
        <w:t>Xodim aniqlanadi va vakolati tekshiriladi.</w:t>
      </w:r>
    </w:p>
    <w:p>
      <w:pPr>
        <w:pStyle w:val="ListNumber"/>
        <w:spacing w:after="60"/>
      </w:pPr>
      <w:r>
        <w:t>Faqat biriktirilgan shkaf yoki qurol ochiladi.</w:t>
      </w:r>
    </w:p>
    <w:p>
      <w:pPr>
        <w:pStyle w:val="ListNumber"/>
        <w:spacing w:after="60"/>
      </w:pPr>
      <w:r>
        <w:t>Olingan jihoz datchiklar bilan aniqlanadi.</w:t>
      </w:r>
    </w:p>
    <w:p>
      <w:pPr>
        <w:pStyle w:val="ListNumber"/>
        <w:spacing w:after="60"/>
      </w:pPr>
      <w:r>
        <w:t>Hodisa himoyalangan audit jurnaliga yoziladi.</w:t>
      </w:r>
    </w:p>
    <w:p>
      <w:pPr>
        <w:pStyle w:val="ListNumber"/>
        <w:spacing w:after="60"/>
      </w:pPr>
      <w:r>
        <w:t>Kech qaytarilganda mas’ul shaxsga signal yuboriladi.</w:t>
      </w:r>
    </w:p>
    <w:p>
      <w:pPr>
        <w:pStyle w:val="ListNumber"/>
        <w:spacing w:after="60"/>
      </w:pPr>
      <w:r>
        <w:t>Qaytarishda aynan tegishli qurol tekshiriladi.</w:t>
      </w:r>
    </w:p>
    <w:p>
      <w:pPr>
        <w:pStyle w:val="ListNumber"/>
        <w:spacing w:after="60"/>
      </w:pPr>
      <w:r>
        <w:t>Ko‘rik yoki ta’mirdan o‘tmagan qurolni qayta berish bloklanadi.</w:t>
      </w:r>
    </w:p>
    <w:p>
      <w:pPr>
        <w:pStyle w:val="Heading1"/>
      </w:pPr>
      <w:r>
        <w:t>4.5. Bizning loyihaga olinadigan yechimlar</w:t>
      </w:r>
    </w:p>
    <w:p>
      <w:pPr>
        <w:pStyle w:val="ListBullet"/>
        <w:spacing w:after="60"/>
      </w:pPr>
      <w:r>
        <w:t>bir xodimga bir shkaf;</w:t>
      </w:r>
    </w:p>
    <w:p>
      <w:pPr>
        <w:pStyle w:val="ListBullet"/>
        <w:spacing w:after="60"/>
      </w:pPr>
      <w:r>
        <w:t>RFID xizmat kartasi, barmoq izi, Face ID va PIN;</w:t>
      </w:r>
    </w:p>
    <w:p>
      <w:pPr>
        <w:pStyle w:val="ListBullet"/>
        <w:spacing w:after="60"/>
      </w:pPr>
      <w:r>
        <w:t>qurol va jihozlar uchun RFID;</w:t>
      </w:r>
    </w:p>
    <w:p>
      <w:pPr>
        <w:pStyle w:val="ListBullet"/>
        <w:spacing w:after="60"/>
      </w:pPr>
      <w:r>
        <w:t>qurol mavjudligi uchun mustaqil holat datchigi;</w:t>
      </w:r>
    </w:p>
    <w:p>
      <w:pPr>
        <w:pStyle w:val="ListBullet"/>
        <w:spacing w:after="60"/>
      </w:pPr>
      <w:r>
        <w:t>magazin/o‘q-dori uchun vazn nazorati;</w:t>
      </w:r>
    </w:p>
    <w:p>
      <w:pPr>
        <w:pStyle w:val="ListBullet"/>
        <w:spacing w:after="60"/>
      </w:pPr>
      <w:r>
        <w:t>eshik va buzishga urinish datchiklari;</w:t>
      </w:r>
    </w:p>
    <w:p>
      <w:pPr>
        <w:pStyle w:val="ListBullet"/>
        <w:spacing w:after="60"/>
      </w:pPr>
      <w:r>
        <w:t>o‘chirib bo‘lmaydigan audit jurnali;</w:t>
      </w:r>
    </w:p>
    <w:p>
      <w:pPr>
        <w:pStyle w:val="ListBullet"/>
        <w:spacing w:after="60"/>
      </w:pPr>
      <w:r>
        <w:t>kech qaytarish bo‘yicha ogohlantirish;</w:t>
      </w:r>
    </w:p>
    <w:p>
      <w:pPr>
        <w:pStyle w:val="ListBullet"/>
        <w:spacing w:after="60"/>
      </w:pPr>
      <w:r>
        <w:t>markaziy dashboard;</w:t>
      </w:r>
    </w:p>
    <w:p>
      <w:pPr>
        <w:pStyle w:val="ListBullet"/>
        <w:spacing w:after="60"/>
      </w:pPr>
      <w:r>
        <w:t>internet bo‘lmasa lokal ishlash va keyin sinxronlash;</w:t>
      </w:r>
    </w:p>
    <w:p>
      <w:pPr>
        <w:pStyle w:val="ListBullet"/>
        <w:spacing w:after="60"/>
      </w:pPr>
      <w:r>
        <w:t>zaxira quvvat hamda qayd qilinadigan favqulodda kirish;</w:t>
      </w:r>
    </w:p>
    <w:p>
      <w:pPr>
        <w:pStyle w:val="ListBullet"/>
        <w:spacing w:after="60"/>
      </w:pPr>
      <w:r>
        <w:t>mavjud HR, navbatchilik va kirish nazorati tizimlari bilan API integratsiyasi.</w:t>
      </w:r>
    </w:p>
    <w:p>
      <w:pPr>
        <w:pStyle w:val="Heading1"/>
      </w:pPr>
      <w:r>
        <w:t>4.6. Mahalliylashtiriladigan farqlar</w:t>
      </w:r>
    </w:p>
    <w:tbl>
      <w:tblPr>
        <w:tblW w:type="auto" w:w="0"/>
        <w:jc w:val="center"/>
        <w:tblLayout w:type="fixed"/>
        <w:tblLook w:firstColumn="1" w:firstRow="1" w:lastColumn="0" w:lastRow="0" w:noHBand="0" w:noVBand="1" w:val="04A0"/>
      </w:tblPr>
      <w:tblGrid>
        <w:gridCol w:w="4773"/>
        <w:gridCol w:w="4773"/>
      </w:tblGrid>
      <w:tr>
        <w:trPr>
          <w:cantSplit/>
          <w:tblHeader w:val="true"/>
        </w:trPr>
        <w:tc>
          <w:tcPr>
            <w:tcW w:type="dxa" w:w="4392"/>
            <w:vAlign w:val="center"/>
            <w:tcMar>
              <w:top w:w="80" w:type="dxa"/>
              <w:start w:w="110" w:type="dxa"/>
              <w:bottom w:w="80" w:type="dxa"/>
              <w:end w:w="110" w:type="dxa"/>
            </w:tcMar>
            <w:shd w:fill="17365D"/>
          </w:tcPr>
          <w:p>
            <w:pPr>
              <w:spacing w:after="0" w:line="240" w:lineRule="auto"/>
            </w:pPr>
            <w:r/>
            <w:r>
              <w:rPr>
                <w:rFonts w:ascii="Aptos" w:hAnsi="Aptos"/>
                <w:b/>
                <w:color w:val="FFFFFF"/>
                <w:sz w:val="18"/>
              </w:rPr>
              <w:t>Xalqaro mahsulotlarda</w:t>
            </w:r>
          </w:p>
        </w:tc>
        <w:tc>
          <w:tcPr>
            <w:tcW w:type="dxa" w:w="4896"/>
            <w:vAlign w:val="center"/>
            <w:tcMar>
              <w:top w:w="80" w:type="dxa"/>
              <w:start w:w="110" w:type="dxa"/>
              <w:bottom w:w="80" w:type="dxa"/>
              <w:end w:w="110" w:type="dxa"/>
            </w:tcMar>
            <w:shd w:fill="17365D"/>
          </w:tcPr>
          <w:p>
            <w:pPr>
              <w:spacing w:after="0" w:line="240" w:lineRule="auto"/>
            </w:pPr>
            <w:r/>
            <w:r>
              <w:rPr>
                <w:rFonts w:ascii="Aptos" w:hAnsi="Aptos"/>
                <w:b/>
                <w:color w:val="FFFFFF"/>
                <w:sz w:val="18"/>
              </w:rPr>
              <w:t>Bizning konsepsiyada</w:t>
            </w:r>
          </w:p>
        </w:tc>
      </w:tr>
      <w:tr>
        <w:trPr>
          <w:cantSplit/>
        </w:trPr>
        <w:tc>
          <w:tcPr>
            <w:tcW w:type="dxa" w:w="43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Har bir qurol uchun alohida kichik bo‘lim</w:t>
            </w:r>
          </w:p>
        </w:tc>
        <w:tc>
          <w:tcPr>
            <w:tcW w:type="dxa" w:w="48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Bir xodimning qurol va asosiy jihozlari bitta vertikal shkafda</w:t>
            </w:r>
          </w:p>
        </w:tc>
      </w:tr>
      <w:tr>
        <w:trPr>
          <w:cantSplit/>
        </w:trPr>
        <w:tc>
          <w:tcPr>
            <w:tcW w:type="dxa" w:w="43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Import qilinadigan qimmat elektronika</w:t>
            </w:r>
          </w:p>
        </w:tc>
        <w:tc>
          <w:tcPr>
            <w:tcW w:type="dxa" w:w="48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Mahalliy yig‘iladigan va almashtiriladigan modullar</w:t>
            </w:r>
          </w:p>
        </w:tc>
      </w:tr>
      <w:tr>
        <w:trPr>
          <w:cantSplit/>
        </w:trPr>
        <w:tc>
          <w:tcPr>
            <w:tcW w:type="dxa" w:w="43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Bulutli platformaga bog‘liqlik</w:t>
            </w:r>
          </w:p>
        </w:tc>
        <w:tc>
          <w:tcPr>
            <w:tcW w:type="dxa" w:w="48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IIVning lokal serveri va offline-first ish</w:t>
            </w:r>
          </w:p>
        </w:tc>
      </w:tr>
      <w:tr>
        <w:trPr>
          <w:cantSplit/>
        </w:trPr>
        <w:tc>
          <w:tcPr>
            <w:tcW w:type="dxa" w:w="43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Asosan qurol nazorati</w:t>
            </w:r>
          </w:p>
        </w:tc>
        <w:tc>
          <w:tcPr>
            <w:tcW w:type="dxa" w:w="48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Qurol, himoya vositasi, body-kamera va xizmat jihozlari</w:t>
            </w:r>
          </w:p>
        </w:tc>
      </w:tr>
      <w:tr>
        <w:trPr>
          <w:cantSplit/>
        </w:trPr>
        <w:tc>
          <w:tcPr>
            <w:tcW w:type="dxa" w:w="439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Xorijiy identifikatsiya tizimi</w:t>
            </w:r>
          </w:p>
        </w:tc>
        <w:tc>
          <w:tcPr>
            <w:tcW w:type="dxa" w:w="489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Mavjud xizmat kartasi va ichki bazalar bilan integratsiya</w:t>
            </w:r>
          </w:p>
        </w:tc>
      </w:tr>
      <w:tr>
        <w:trPr>
          <w:cantSplit/>
        </w:trPr>
        <w:tc>
          <w:tcPr>
            <w:tcW w:type="dxa" w:w="439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Import servis va ehtiyot qismlar</w:t>
            </w:r>
          </w:p>
        </w:tc>
        <w:tc>
          <w:tcPr>
            <w:tcW w:type="dxa" w:w="489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Mahalliy servis, ishlab chiqarish va ehtiyot qismlar</w:t>
            </w:r>
          </w:p>
        </w:tc>
      </w:tr>
    </w:tbl>
    <w:p>
      <w:pPr>
        <w:spacing w:after="20"/>
      </w:pPr>
    </w:p>
    <w:p>
      <w:pPr>
        <w:pStyle w:val="Heading1"/>
      </w:pPr>
      <w:r>
        <w:t>4.7. Tavsiya etiladigan arxitektura</w:t>
      </w:r>
    </w:p>
    <w:tbl>
      <w:tblPr>
        <w:tblW w:type="auto" w:w="0"/>
        <w:jc w:val="center"/>
        <w:tblLayout w:type="fixed"/>
        <w:tblLook w:firstColumn="1" w:firstRow="1" w:lastColumn="0" w:lastRow="0" w:noHBand="0" w:noVBand="1" w:val="04A0"/>
      </w:tblPr>
      <w:tblGrid>
        <w:gridCol w:w="4773"/>
        <w:gridCol w:w="4773"/>
      </w:tblGrid>
      <w:tr>
        <w:trPr>
          <w:cantSplit/>
          <w:tblHeader w:val="true"/>
        </w:trPr>
        <w:tc>
          <w:tcPr>
            <w:tcW w:type="dxa" w:w="2232"/>
            <w:vAlign w:val="center"/>
            <w:tcMar>
              <w:top w:w="80" w:type="dxa"/>
              <w:start w:w="110" w:type="dxa"/>
              <w:bottom w:w="80" w:type="dxa"/>
              <w:end w:w="110" w:type="dxa"/>
            </w:tcMar>
            <w:shd w:fill="17365D"/>
          </w:tcPr>
          <w:p>
            <w:pPr>
              <w:spacing w:after="0" w:line="240" w:lineRule="auto"/>
            </w:pPr>
            <w:r/>
            <w:r>
              <w:rPr>
                <w:rFonts w:ascii="Aptos" w:hAnsi="Aptos"/>
                <w:b/>
                <w:color w:val="FFFFFF"/>
                <w:sz w:val="18"/>
              </w:rPr>
              <w:t>Daraja</w:t>
            </w:r>
          </w:p>
        </w:tc>
        <w:tc>
          <w:tcPr>
            <w:tcW w:type="dxa" w:w="7056"/>
            <w:vAlign w:val="center"/>
            <w:tcMar>
              <w:top w:w="80" w:type="dxa"/>
              <w:start w:w="110" w:type="dxa"/>
              <w:bottom w:w="80" w:type="dxa"/>
              <w:end w:w="110" w:type="dxa"/>
            </w:tcMar>
            <w:shd w:fill="17365D"/>
          </w:tcPr>
          <w:p>
            <w:pPr>
              <w:spacing w:after="0" w:line="240" w:lineRule="auto"/>
            </w:pPr>
            <w:r/>
            <w:r>
              <w:rPr>
                <w:rFonts w:ascii="Aptos" w:hAnsi="Aptos"/>
                <w:b/>
                <w:color w:val="FFFFFF"/>
                <w:sz w:val="18"/>
              </w:rPr>
              <w:t>Tarkibi</w:t>
            </w:r>
          </w:p>
        </w:tc>
      </w:tr>
      <w:tr>
        <w:trPr>
          <w:cantSplit/>
        </w:trPr>
        <w:tc>
          <w:tcPr>
            <w:tcW w:type="dxa" w:w="223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Har bir shkaf</w:t>
            </w:r>
          </w:p>
        </w:tc>
        <w:tc>
          <w:tcPr>
            <w:tcW w:type="dxa" w:w="70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Elektron qulf, RFID/ID, holat datchiklari va ESP32/STM32 sinfidagi kontroller.</w:t>
            </w:r>
          </w:p>
        </w:tc>
      </w:tr>
      <w:tr>
        <w:trPr>
          <w:cantSplit/>
        </w:trPr>
        <w:tc>
          <w:tcPr>
            <w:tcW w:type="dxa" w:w="223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Har 10–20 shkaf</w:t>
            </w:r>
          </w:p>
        </w:tc>
        <w:tc>
          <w:tcPr>
            <w:tcW w:type="dxa" w:w="705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Bitta Face ID terminali, ekran va umumiy aloqa/boshqaruv moduli.</w:t>
            </w:r>
          </w:p>
        </w:tc>
      </w:tr>
      <w:tr>
        <w:trPr>
          <w:cantSplit/>
        </w:trPr>
        <w:tc>
          <w:tcPr>
            <w:tcW w:type="dxa" w:w="223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Har bir qurolxona</w:t>
            </w:r>
          </w:p>
        </w:tc>
        <w:tc>
          <w:tcPr>
            <w:tcW w:type="dxa" w:w="70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Lokal kontroller, UPS, hodisalar keshi va tarmoq shlyuzi.</w:t>
            </w:r>
          </w:p>
        </w:tc>
      </w:tr>
      <w:tr>
        <w:trPr>
          <w:cantSplit/>
        </w:trPr>
        <w:tc>
          <w:tcPr>
            <w:tcW w:type="dxa" w:w="2232"/>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Tashkilot serveri</w:t>
            </w:r>
          </w:p>
        </w:tc>
        <w:tc>
          <w:tcPr>
            <w:tcW w:type="dxa" w:w="7056"/>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Markaziy ma’lumotlar bazasi, ruxsatlar, audit va dashboard.</w:t>
            </w:r>
          </w:p>
        </w:tc>
      </w:tr>
      <w:tr>
        <w:trPr>
          <w:cantSplit/>
        </w:trPr>
        <w:tc>
          <w:tcPr>
            <w:tcW w:type="dxa" w:w="2232"/>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Hudud/respublika</w:t>
            </w:r>
          </w:p>
        </w:tc>
        <w:tc>
          <w:tcPr>
            <w:tcW w:type="dxa" w:w="7056"/>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Vakolat doirasida jamlangan monitoring va hisobot.</w:t>
            </w:r>
          </w:p>
        </w:tc>
      </w:tr>
    </w:tbl>
    <w:p>
      <w:pPr>
        <w:spacing w:after="20"/>
      </w:pPr>
    </w:p>
    <w:tbl>
      <w:tblPr>
        <w:tblW w:type="auto" w:w="0"/>
        <w:tblLayout w:type="fixed"/>
        <w:tblLook w:firstColumn="1" w:firstRow="1" w:lastColumn="0" w:lastRow="0" w:noHBand="0" w:noVBand="1" w:val="04A0"/>
      </w:tblPr>
      <w:tblGrid>
        <w:gridCol w:w="9288"/>
      </w:tblGrid>
      <w:tr>
        <w:trPr>
          <w:cantSplit/>
          <w:tblHeader w:val="true"/>
        </w:trPr>
        <w:tc>
          <w:tcPr>
            <w:tcW w:type="dxa" w:w="9547"/>
            <w:shd w:fill="DDEBF7"/>
            <w:tcMar>
              <w:top w:w="150" w:type="dxa"/>
              <w:start w:w="180" w:type="dxa"/>
              <w:bottom w:w="150" w:type="dxa"/>
              <w:end w:w="180" w:type="dxa"/>
            </w:tcMar>
          </w:tcPr>
          <w:p>
            <w:pPr>
              <w:spacing w:after="80"/>
            </w:pPr>
            <w:r/>
            <w:r>
              <w:rPr>
                <w:b/>
                <w:color w:val="2E75B6"/>
                <w:sz w:val="18"/>
              </w:rPr>
              <w:t>XALQARO TAJRIBA BO‘YICHA YAKUN</w:t>
            </w:r>
          </w:p>
          <w:p>
            <w:pPr>
              <w:spacing w:after="0" w:line="259" w:lineRule="auto"/>
            </w:pPr>
            <w:r>
              <w:t>Mahsulot oddiy Face IDli shkaf emas. U xodim, qurol va jihoz o‘rtasidagi biriktirishni boshqaradigan, olish-qaytarishni avtomatik qayd etadigan, offline ishlaydigan va markaziy nazoratga ulanadigan qurol-aslaha boshqaruv tizimi bo‘ladi.</w:t>
            </w:r>
          </w:p>
        </w:tc>
      </w:tr>
    </w:tbl>
    <w:p>
      <w:pPr>
        <w:spacing w:after="20"/>
      </w:pPr>
    </w:p>
    <w:p>
      <w:r>
        <w:br w:type="page"/>
      </w:r>
    </w:p>
    <w:p>
      <w:pPr>
        <w:pStyle w:val="Title"/>
      </w:pPr>
      <w:r>
        <w:t>5. Keyingi bosqich: texnik topshiriq</w:t>
      </w:r>
    </w:p>
    <w:p>
      <w:r>
        <w:t>Ushbu tadqiqot asosida TZ quyidagi yirik bo‘limlarda ishlab chiqiladi:</w:t>
      </w:r>
    </w:p>
    <w:p>
      <w:pPr>
        <w:pStyle w:val="ListBullet"/>
        <w:spacing w:after="60"/>
      </w:pPr>
      <w:r>
        <w:t>maqsad, qo‘llanish sohasi va atamalar;</w:t>
      </w:r>
    </w:p>
    <w:p>
      <w:pPr>
        <w:pStyle w:val="ListBullet"/>
        <w:spacing w:after="60"/>
      </w:pPr>
      <w:r>
        <w:t>funksional va foydalanuvchi talablari;</w:t>
      </w:r>
    </w:p>
    <w:p>
      <w:pPr>
        <w:pStyle w:val="ListBullet"/>
        <w:spacing w:after="60"/>
      </w:pPr>
      <w:r>
        <w:t>mexanik konstruksiya va materiallar;</w:t>
      </w:r>
    </w:p>
    <w:p>
      <w:pPr>
        <w:pStyle w:val="ListBullet"/>
        <w:spacing w:after="60"/>
      </w:pPr>
      <w:r>
        <w:t>qulf, datchik, identifikatsiya va elektr ta’minoti;</w:t>
      </w:r>
    </w:p>
    <w:p>
      <w:pPr>
        <w:pStyle w:val="ListBullet"/>
        <w:spacing w:after="60"/>
      </w:pPr>
      <w:r>
        <w:t>dasturiy ta’minot, rollar, jurnal va dashboard;</w:t>
      </w:r>
    </w:p>
    <w:p>
      <w:pPr>
        <w:pStyle w:val="ListBullet"/>
        <w:spacing w:after="60"/>
      </w:pPr>
      <w:r>
        <w:t>lokal tarmoq, server va API integratsiyasi;</w:t>
      </w:r>
    </w:p>
    <w:p>
      <w:pPr>
        <w:pStyle w:val="ListBullet"/>
        <w:spacing w:after="60"/>
      </w:pPr>
      <w:r>
        <w:t>axborot xavfsizligi va biometrik ma’lumotlarni himoya qilish;</w:t>
      </w:r>
    </w:p>
    <w:p>
      <w:pPr>
        <w:pStyle w:val="ListBullet"/>
        <w:spacing w:after="60"/>
      </w:pPr>
      <w:r>
        <w:t>favqulodda holatlar va fail-safe/fail-secure siyosati;</w:t>
      </w:r>
    </w:p>
    <w:p>
      <w:pPr>
        <w:pStyle w:val="ListBullet"/>
        <w:spacing w:after="60"/>
      </w:pPr>
      <w:r>
        <w:t>sinov, qabul qilish va sertifikatlash;</w:t>
      </w:r>
    </w:p>
    <w:p>
      <w:pPr>
        <w:pStyle w:val="ListBullet"/>
        <w:spacing w:after="60"/>
      </w:pPr>
      <w:r>
        <w:t>ishlab chiqarish, o‘rnatish, kafolat va servis.</w:t>
      </w:r>
    </w:p>
    <w:p>
      <w:pPr>
        <w:pStyle w:val="Heading1"/>
      </w:pPr>
      <w:r>
        <w:t>5.1. TZdan oldin buyurtmachidan olinadigan ma’lumotlar</w:t>
      </w:r>
    </w:p>
    <w:tbl>
      <w:tblPr>
        <w:tblW w:type="auto" w:w="0"/>
        <w:jc w:val="center"/>
        <w:tblLayout w:type="fixed"/>
        <w:tblLook w:firstColumn="1" w:firstRow="1" w:lastColumn="0" w:lastRow="0" w:noHBand="0" w:noVBand="1" w:val="04A0"/>
      </w:tblPr>
      <w:tblGrid>
        <w:gridCol w:w="4773"/>
        <w:gridCol w:w="4773"/>
      </w:tblGrid>
      <w:tr>
        <w:trPr>
          <w:cantSplit/>
          <w:tblHeader w:val="true"/>
        </w:trPr>
        <w:tc>
          <w:tcPr>
            <w:tcW w:type="dxa" w:w="2088"/>
            <w:vAlign w:val="center"/>
            <w:tcMar>
              <w:top w:w="80" w:type="dxa"/>
              <w:start w:w="110" w:type="dxa"/>
              <w:bottom w:w="80" w:type="dxa"/>
              <w:end w:w="110" w:type="dxa"/>
            </w:tcMar>
            <w:shd w:fill="17365D"/>
          </w:tcPr>
          <w:p>
            <w:pPr>
              <w:spacing w:after="0" w:line="240" w:lineRule="auto"/>
            </w:pPr>
            <w:r/>
            <w:r>
              <w:rPr>
                <w:rFonts w:ascii="Aptos" w:hAnsi="Aptos"/>
                <w:b/>
                <w:color w:val="FFFFFF"/>
                <w:sz w:val="18"/>
              </w:rPr>
              <w:t>Savol guruhi</w:t>
            </w:r>
          </w:p>
        </w:tc>
        <w:tc>
          <w:tcPr>
            <w:tcW w:type="dxa" w:w="7200"/>
            <w:vAlign w:val="center"/>
            <w:tcMar>
              <w:top w:w="80" w:type="dxa"/>
              <w:start w:w="110" w:type="dxa"/>
              <w:bottom w:w="80" w:type="dxa"/>
              <w:end w:w="110" w:type="dxa"/>
            </w:tcMar>
            <w:shd w:fill="17365D"/>
          </w:tcPr>
          <w:p>
            <w:pPr>
              <w:spacing w:after="0" w:line="240" w:lineRule="auto"/>
            </w:pPr>
            <w:r/>
            <w:r>
              <w:rPr>
                <w:rFonts w:ascii="Aptos" w:hAnsi="Aptos"/>
                <w:b/>
                <w:color w:val="FFFFFF"/>
                <w:sz w:val="18"/>
              </w:rPr>
              <w:t>Aniqlanishi kerak</w:t>
            </w:r>
          </w:p>
        </w:tc>
      </w:tr>
      <w:tr>
        <w:trPr>
          <w:cantSplit/>
        </w:trPr>
        <w:tc>
          <w:tcPr>
            <w:tcW w:type="dxa" w:w="208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Jihozlar</w:t>
            </w:r>
          </w:p>
        </w:tc>
        <w:tc>
          <w:tcPr>
            <w:tcW w:type="dxa" w:w="72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AK/PM modellari, magazinlar, o‘q-dori, body-kamera va himoya jihozlarining aniq tarkibi.</w:t>
            </w:r>
          </w:p>
        </w:tc>
      </w:tr>
      <w:tr>
        <w:trPr>
          <w:cantSplit/>
        </w:trPr>
        <w:tc>
          <w:tcPr>
            <w:tcW w:type="dxa" w:w="2088"/>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Vakolat</w:t>
            </w:r>
          </w:p>
        </w:tc>
        <w:tc>
          <w:tcPr>
            <w:tcW w:type="dxa" w:w="720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Kim ochadi, kim tasdiqlaydi, favqulodda kirishda nechta mas’ul shaxs qatnashadi.</w:t>
            </w:r>
          </w:p>
        </w:tc>
      </w:tr>
      <w:tr>
        <w:trPr>
          <w:cantSplit/>
        </w:trPr>
        <w:tc>
          <w:tcPr>
            <w:tcW w:type="dxa" w:w="208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Integratsiya</w:t>
            </w:r>
          </w:p>
        </w:tc>
        <w:tc>
          <w:tcPr>
            <w:tcW w:type="dxa" w:w="72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Mavjud xodimlar bazasi, xizmat kartasi, navbatchilik va videokuzatuv tizimlari.</w:t>
            </w:r>
          </w:p>
        </w:tc>
      </w:tr>
      <w:tr>
        <w:trPr>
          <w:cantSplit/>
        </w:trPr>
        <w:tc>
          <w:tcPr>
            <w:tcW w:type="dxa" w:w="2088"/>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Saqlash</w:t>
            </w:r>
          </w:p>
        </w:tc>
        <w:tc>
          <w:tcPr>
            <w:tcW w:type="dxa" w:w="720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Jurnal, biometrika va videoni saqlash muddati hamda arxiv talabi.</w:t>
            </w:r>
          </w:p>
        </w:tc>
      </w:tr>
      <w:tr>
        <w:trPr>
          <w:cantSplit/>
        </w:trPr>
        <w:tc>
          <w:tcPr>
            <w:tcW w:type="dxa" w:w="208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Muhit</w:t>
            </w:r>
          </w:p>
        </w:tc>
        <w:tc>
          <w:tcPr>
            <w:tcW w:type="dxa" w:w="72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Qurolxona o‘lchami, elektr, tarmoq, harorat, namlik va o‘rnatish sharoiti.</w:t>
            </w:r>
          </w:p>
        </w:tc>
      </w:tr>
      <w:tr>
        <w:trPr>
          <w:cantSplit/>
        </w:trPr>
        <w:tc>
          <w:tcPr>
            <w:tcW w:type="dxa" w:w="2088"/>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Sinov</w:t>
            </w:r>
          </w:p>
        </w:tc>
        <w:tc>
          <w:tcPr>
            <w:tcW w:type="dxa" w:w="7200"/>
            <w:vAlign w:val="center"/>
            <w:tcMar>
              <w:top w:w="80" w:type="dxa"/>
              <w:start w:w="110" w:type="dxa"/>
              <w:bottom w:w="80" w:type="dxa"/>
              <w:end w:w="110" w:type="dxa"/>
            </w:tcMar>
            <w:shd w:fill="F2F4F7"/>
          </w:tcPr>
          <w:p>
            <w:pPr>
              <w:spacing w:after="0" w:line="240" w:lineRule="auto"/>
            </w:pPr>
            <w:r/>
            <w:r>
              <w:rPr>
                <w:rFonts w:ascii="Aptos" w:hAnsi="Aptos"/>
                <w:b w:val="0"/>
                <w:color w:val="1F2937"/>
                <w:sz w:val="17"/>
              </w:rPr>
              <w:t>IIV ichki me’yorlari, sertifikatlash sinfi va qabul sinovlari.</w:t>
            </w:r>
          </w:p>
        </w:tc>
      </w:tr>
      <w:tr>
        <w:trPr>
          <w:cantSplit/>
        </w:trPr>
        <w:tc>
          <w:tcPr>
            <w:tcW w:type="dxa" w:w="2088"/>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Ko‘lam</w:t>
            </w:r>
          </w:p>
        </w:tc>
        <w:tc>
          <w:tcPr>
            <w:tcW w:type="dxa" w:w="7200"/>
            <w:vAlign w:val="center"/>
            <w:tcMar>
              <w:top w:w="80" w:type="dxa"/>
              <w:start w:w="110" w:type="dxa"/>
              <w:bottom w:w="80" w:type="dxa"/>
              <w:end w:w="110" w:type="dxa"/>
            </w:tcMar>
            <w:shd w:fill="FFFFFF"/>
          </w:tcPr>
          <w:p>
            <w:pPr>
              <w:spacing w:after="0" w:line="240" w:lineRule="auto"/>
            </w:pPr>
            <w:r/>
            <w:r>
              <w:rPr>
                <w:rFonts w:ascii="Aptos" w:hAnsi="Aptos"/>
                <w:b w:val="0"/>
                <w:color w:val="1F2937"/>
                <w:sz w:val="17"/>
              </w:rPr>
              <w:t>Pilot bo‘linma, shkaflar soni, smena va foydalanuvchilar soni.</w:t>
            </w:r>
          </w:p>
        </w:tc>
      </w:tr>
    </w:tbl>
    <w:p>
      <w:pPr>
        <w:spacing w:after="20"/>
      </w:pPr>
    </w:p>
    <w:tbl>
      <w:tblPr>
        <w:tblW w:type="auto" w:w="0"/>
        <w:tblLayout w:type="fixed"/>
        <w:tblLook w:firstColumn="1" w:firstRow="1" w:lastColumn="0" w:lastRow="0" w:noHBand="0" w:noVBand="1" w:val="04A0"/>
      </w:tblPr>
      <w:tblGrid>
        <w:gridCol w:w="9288"/>
      </w:tblGrid>
      <w:tr>
        <w:trPr>
          <w:cantSplit/>
          <w:tblHeader w:val="true"/>
        </w:trPr>
        <w:tc>
          <w:tcPr>
            <w:tcW w:type="dxa" w:w="9547"/>
            <w:shd w:fill="DDEBF7"/>
            <w:tcMar>
              <w:top w:w="150" w:type="dxa"/>
              <w:start w:w="180" w:type="dxa"/>
              <w:bottom w:w="150" w:type="dxa"/>
              <w:end w:w="180" w:type="dxa"/>
            </w:tcMar>
          </w:tcPr>
          <w:p>
            <w:pPr>
              <w:spacing w:after="80"/>
            </w:pPr>
            <w:r/>
            <w:r>
              <w:rPr>
                <w:b/>
                <w:color w:val="2E75B6"/>
                <w:sz w:val="18"/>
              </w:rPr>
              <w:t>HOZIRGI MAQOM</w:t>
            </w:r>
          </w:p>
          <w:p>
            <w:pPr>
              <w:spacing w:after="0" w:line="259" w:lineRule="auto"/>
            </w:pPr>
            <w:r>
              <w:t>Konsept tadqiqoti yakunlandi. Keyingi hujjat — buyurtmachi bilan kelishishga mo‘ljallangan to‘liq texnik topshiriq (TZ).</w:t>
            </w:r>
          </w:p>
        </w:tc>
      </w:tr>
    </w:tbl>
    <w:p>
      <w:pPr>
        <w:spacing w:after="20"/>
      </w:pPr>
    </w:p>
    <w:p>
      <w:pPr>
        <w:pStyle w:val="Title"/>
      </w:pPr>
      <w:r>
        <w:t>Manbalar</w:t>
      </w:r>
    </w:p>
    <w:p>
      <w:pPr>
        <w:spacing w:after="80"/>
      </w:pPr>
      <w:r>
        <w:t xml:space="preserve">1. O‘zbekiston Respublikasi “Qurol to‘g‘risida”gi O‘RQ-550-son Qonuni — </w:t>
      </w:r>
      <w:hyperlink r:id="rId11">
        <w:r>
          <w:rPr>
            <w:color w:val="2E75B6"/>
            <w:u w:val="single"/>
          </w:rPr>
          <w:t>https://lex.uz/docs/4445290</w:t>
        </w:r>
      </w:hyperlink>
    </w:p>
    <w:p>
      <w:pPr>
        <w:spacing w:after="80"/>
      </w:pPr>
      <w:r>
        <w:t xml:space="preserve">2. Vazirlar Mahkamasining 2020-yil 28-iyuldagi 455-son qarori — </w:t>
      </w:r>
      <w:hyperlink r:id="rId12">
        <w:r>
          <w:rPr>
            <w:color w:val="2E75B6"/>
            <w:u w:val="single"/>
          </w:rPr>
          <w:t>https://lex.uz/docs/4920582</w:t>
        </w:r>
      </w:hyperlink>
    </w:p>
    <w:p>
      <w:pPr>
        <w:spacing w:after="80"/>
      </w:pPr>
      <w:r>
        <w:t xml:space="preserve">3. Vazirlar Mahkamasining 2020-yil 26-dekabrdagi 810-son qarori — </w:t>
      </w:r>
      <w:hyperlink r:id="rId13">
        <w:r>
          <w:rPr>
            <w:color w:val="2E75B6"/>
            <w:u w:val="single"/>
          </w:rPr>
          <w:t>https://lex.uz/docs/5190180</w:t>
        </w:r>
      </w:hyperlink>
    </w:p>
    <w:p>
      <w:pPr>
        <w:spacing w:after="80"/>
      </w:pPr>
      <w:r>
        <w:t xml:space="preserve">4. O‘zbekiston Respublikasi “Ichki ishlar organlari to‘g‘risida”gi Qonuni — </w:t>
      </w:r>
      <w:hyperlink r:id="rId14">
        <w:r>
          <w:rPr>
            <w:color w:val="2E75B6"/>
            <w:u w:val="single"/>
          </w:rPr>
          <w:t>https://lex.uz/docs/3027845</w:t>
        </w:r>
      </w:hyperlink>
    </w:p>
    <w:p>
      <w:pPr>
        <w:spacing w:after="80"/>
      </w:pPr>
      <w:r>
        <w:t xml:space="preserve">5. EN 14450:2017+A1:2023 — Secure storage units — </w:t>
      </w:r>
      <w:hyperlink r:id="rId15">
        <w:r>
          <w:rPr>
            <w:color w:val="2E75B6"/>
            <w:u w:val="single"/>
          </w:rPr>
          <w:t>https://standards.iteh.ai/catalog/standards/cen/f21bf22d-d271-4709-be6a-c2fb1f969a76/en-14450-2017a1-2023</w:t>
        </w:r>
      </w:hyperlink>
    </w:p>
    <w:p>
      <w:pPr>
        <w:spacing w:after="80"/>
      </w:pPr>
      <w:r>
        <w:t xml:space="preserve">6. Traka — Weapons management lockers — </w:t>
      </w:r>
      <w:hyperlink r:id="rId16">
        <w:r>
          <w:rPr>
            <w:color w:val="2E75B6"/>
            <w:u w:val="single"/>
          </w:rPr>
          <w:t>https://www.traka.com/traka-americas/en/solutions/intelligent-locker-systems/weapons-lockers</w:t>
        </w:r>
      </w:hyperlink>
    </w:p>
    <w:p>
      <w:pPr>
        <w:spacing w:after="80"/>
      </w:pPr>
      <w:r>
        <w:t xml:space="preserve">7. Real Time Networks — Intelligent Weapons Management — </w:t>
      </w:r>
      <w:hyperlink r:id="rId17">
        <w:r>
          <w:rPr>
            <w:color w:val="2E75B6"/>
            <w:u w:val="single"/>
          </w:rPr>
          <w:t>https://www.realtimenetworks.com/solutions/weapons-management-lockers</w:t>
        </w:r>
      </w:hyperlink>
    </w:p>
    <w:p>
      <w:pPr>
        <w:spacing w:after="80"/>
      </w:pPr>
      <w:r>
        <w:t xml:space="preserve">8. deister electronic — Weapon Management — </w:t>
      </w:r>
      <w:hyperlink r:id="rId18">
        <w:r>
          <w:rPr>
            <w:color w:val="2E75B6"/>
            <w:u w:val="single"/>
          </w:rPr>
          <w:t>https://www.deister.com/en/asset-management/weapon-management</w:t>
        </w:r>
      </w:hyperlink>
    </w:p>
    <w:p>
      <w:pPr>
        <w:spacing w:after="80"/>
      </w:pPr>
      <w:r>
        <w:t xml:space="preserve">9. Armory System — Features — </w:t>
      </w:r>
      <w:hyperlink r:id="rId19">
        <w:r>
          <w:rPr>
            <w:color w:val="2E75B6"/>
            <w:u w:val="single"/>
          </w:rPr>
          <w:t>https://armorysystem.com/features</w:t>
        </w:r>
      </w:hyperlink>
    </w:p>
    <w:p>
      <w:pPr>
        <w:spacing w:after="80"/>
      </w:pPr>
      <w:r>
        <w:t xml:space="preserve">10. Weapon Tracking IoT — Smart Storage — </w:t>
      </w:r>
      <w:hyperlink r:id="rId20">
        <w:r>
          <w:rPr>
            <w:color w:val="2E75B6"/>
            <w:u w:val="single"/>
          </w:rPr>
          <w:t>https://weapontrackingsystemsiot.com/smart-storage-solutions-for-weapons/</w:t>
        </w:r>
      </w:hyperlink>
    </w:p>
    <w:p>
      <w:pPr>
        <w:spacing w:before="240"/>
      </w:pPr>
      <w:r>
        <w:rPr>
          <w:i/>
          <w:color w:val="65758B"/>
          <w:sz w:val="18"/>
        </w:rPr>
        <w:t>Eslatma: xalqaro ishlab chiqaruvchilarning funksiyalari ularning rasmiy mahsulot sahifalaridagi ma’lumotlar asosida umumlashtirilgan. Yakuniy xarid va sertifikatlashda mustaqil texnik tekshiruv talab etiladi.</w:t>
      </w:r>
    </w:p>
    <w:sectPr w:rsidR="00FC693F" w:rsidRPr="0006063C" w:rsidSect="00034616">
      <w:headerReference w:type="default" r:id="rId9"/>
      <w:footerReference w:type="default" r:id="rId10"/>
      <w:pgSz w:w="11909" w:h="16834"/>
      <w:pgMar w:top="1080"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58B"/>
        <w:sz w:val="16"/>
      </w:rPr>
      <w:t xml:space="preserve">Smart qurol-aslaha shkafi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5758B"/>
        <w:sz w:val="16"/>
      </w:rPr>
      <w:t>SMART QUROL-ASLAHA SHKAFI  |  KONSEPT TADQIQOTI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6575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x.uz/docs/4445290" TargetMode="External"/><Relationship Id="rId12" Type="http://schemas.openxmlformats.org/officeDocument/2006/relationships/hyperlink" Target="https://lex.uz/docs/4920582" TargetMode="External"/><Relationship Id="rId13" Type="http://schemas.openxmlformats.org/officeDocument/2006/relationships/hyperlink" Target="https://lex.uz/docs/5190180" TargetMode="External"/><Relationship Id="rId14" Type="http://schemas.openxmlformats.org/officeDocument/2006/relationships/hyperlink" Target="https://lex.uz/docs/3027845" TargetMode="External"/><Relationship Id="rId15" Type="http://schemas.openxmlformats.org/officeDocument/2006/relationships/hyperlink" Target="https://standards.iteh.ai/catalog/standards/cen/f21bf22d-d271-4709-be6a-c2fb1f969a76/en-14450-2017a1-2023" TargetMode="External"/><Relationship Id="rId16" Type="http://schemas.openxmlformats.org/officeDocument/2006/relationships/hyperlink" Target="https://www.traka.com/traka-americas/en/solutions/intelligent-locker-systems/weapons-lockers" TargetMode="External"/><Relationship Id="rId17" Type="http://schemas.openxmlformats.org/officeDocument/2006/relationships/hyperlink" Target="https://www.realtimenetworks.com/solutions/weapons-management-lockers" TargetMode="External"/><Relationship Id="rId18" Type="http://schemas.openxmlformats.org/officeDocument/2006/relationships/hyperlink" Target="https://www.deister.com/en/asset-management/weapon-management" TargetMode="External"/><Relationship Id="rId19" Type="http://schemas.openxmlformats.org/officeDocument/2006/relationships/hyperlink" Target="https://armorysystem.com/features" TargetMode="External"/><Relationship Id="rId20" Type="http://schemas.openxmlformats.org/officeDocument/2006/relationships/hyperlink" Target="https://weapontrackingsystemsiot.com/smart-storage-solutions-for-weap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qurol-aslaha shkafi — konsept tadqiqoti</dc:title>
  <dc:subject>O‘lchamlar, standartlar, foydalanuvchilar, statistika va xalqaro tajriba</dc:subject>
  <dc:creator>Smart weapon loyihasi</dc:creator>
  <cp:keywords/>
  <dc:description>generated by python-docx</dc:description>
  <cp:lastModifiedBy/>
  <cp:revision>1</cp:revision>
  <dcterms:created xsi:type="dcterms:W3CDTF">2013-12-23T23:15:00Z</dcterms:created>
  <dcterms:modified xsi:type="dcterms:W3CDTF">2013-12-23T23:15:00Z</dcterms:modified>
  <cp:category/>
</cp:coreProperties>
</file>